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RT220205 vom 6. Januar 2023</w:t>
      </w:r>
    </w:p>
    <w:p>
      <w:r>
        <w:t>ZH Obergericht, 2023-01-06, DE</w:t>
      </w:r>
    </w:p>
    <w:p>
      <w:r>
        <w:rPr>
          <w:b/>
        </w:rPr>
        <w:t xml:space="preserve">Quelle: </w:t>
      </w:r>
      <w:r>
        <w:t>https://mcp.opencaselaw.ch/entscheid/zh_obergericht_RT220205</w:t>
      </w:r>
    </w:p>
    <w:p>
      <w:r>
        <w:t>FR: ZH_OBERGERICHT RT220205 du 6 janvier 2023</w:t>
      </w:r>
    </w:p>
    <w:p>
      <w:r>
        <w:t>IT: ZH_OBERGERICHT RT220205 del 6 gennaio 2023</w:t>
      </w:r>
    </w:p>
    <w:p>
      <w:pPr>
        <w:pStyle w:val="Heading2"/>
      </w:pPr>
      <w:r>
        <w:t>Erwägungen</w:t>
      </w:r>
    </w:p>
    <w:p>
      <w:r>
        <w:rPr>
          <w:b/>
        </w:rPr>
        <w:t>E. 1</w:t>
      </w:r>
    </w:p>
    <w:p>
      <w:r>
        <w:t>a) Mit Urteil vom 1. Dezember 2022 wies das Bezirksgericht Zürich (Vorinstanz) das Rechtsöffnungsgesuch (für Fr. 9'530.70 nebst Kosten) in der Be- treibung Nr. 1 des Betreibungsamts Zürich 2 (Zahlungsbefehl vom 11. Mai 2022) ab, unter Auflage der Kosten an die Gesuchstellerin (Urk. 5 = Urk. 8). b) Hiergegen erhob die Gesuchstellerin am 14. Dezember 2022 fristge- recht (vgl. Urk. 6: Zustellung am 12. Dezember 2022) Beschwerde und stellte die Beschwerdeanträge (Urk. 7 S. 1): "Die Beschwerdeführerin beantragt die Aufhebung des Urteils und um Neu- beurteilung des Sachverhaltes des Rechtsöffnungsgesuches vom 28. November 2022." c) Die vorinstanzlichen Akten wurden beigezogen. Da sich die Beschwer- de sogleich als offensichtlich unbegründet erweist, kann auf weitere Prozesshand- lungen verzichtet werden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b) Die Vorinstanz erwog im Wesentlichen, der Betreibungsort Zürich be- ruhe auf einem zuvor erwirkten Arrest. Wenn, wie vorliegend, die Gläubigerin</w:t>
      </w:r>
    </w:p>
    <w:p>
      <w:r>
        <w:t>- 3 - nicht bereits vor Arrestlegung die Betreibung eingeleitet oder eine Klage einge- reicht habe, müsse sie dies innert 10 Tagen nach Zustellung der Arresturkunde tun; erhebe der Schuldner Rechtsvorschlag, müsse die Gläubigerin innert 10 Ta- gen nach dessen Mitteilung die Rechtsöffnung verlangen. Würden diese Prose- quierungsfristen nicht eingehalten, falle der Arrest dahin. Deren Einhaltung sei von Amtes wegen zu beachten. Sie bilde im Rechtsöffnungsverfahren eine Pro- zessvoraussetzung, wenn wie hier der Betreibungsort auf dem Ort fusse, wo sich der Arrestgegenstand befinde; ohne rechtzeitige Prosequierung des Arrests falle dieser dahin und damit auch der Betreibungsort des Arrestes. Vorliegend habe die Gesuchstellerin nicht ausgeführt, wann sie die Arresturkunde erhalten habe und dass sie den Arrest durch rechtzeitige Einleitung der Betreibung prosequiert habe. Ebenso habe sie nicht ausgeführt, wann sie das Gläubigerdoppel des Zah- lungsbefehls (mit der Mitteilung des Rechtsvorschlags) erhalten habe und dass sie den Arrest durch rechtzeitige Einreichung des Rechtsöffnungsgesuchs prose- quiert habe. Damit komme die Gesuchstellerin der ihr obliegenden Behauptungs- und Beweislast bezüglich der Wahrung der Prosequierungsfristen nicht nach und das Gericht dürfe nicht von der rechtzeitigen Prosequierung ausgehen. Damit sei auch der Betreibungsort des Arrestes dahingefallen. Da der Gesuchsgegner sei- nen Wohnsitz in der Türkei habe und die Gesuchstellerin keine Tatsachen vorge- tragen habe, die für einen Betreibungsort in Zürich sprechen würden, entfalle die Möglichkeit, die hier eingeleitete Betreibung fortzusetzen. Auf das Rechtsöff- nungsgesuch sei daher nicht einzutreten (Urk. 8 Erwägungen 2 und 3). Darüber hinaus bestehe der als Rechtsöffnungstitel eingereichte Pfändungsverlustschein vom 13. August 2021 aus zwei Seiten. Die Gesuchstellerin habe jedoch nur die erste Seite eingereicht. Die als Rechtsöffnungstitel eingereichte Urkunde sei da- mit unvollständig. Auch aus diesem Grund könne dem Rechtsöffnungsgesuch nicht stattgegeben werden (Urk. 8 Erwägung 4). c) Die Gesuchstellerin macht in ihrer Beschwerde zusammengefasst gel- tend, sie habe die Arresturkunde am 26. April 2022 erhalten und durch Einleitung der Betreibung am gleichen Tag die Prosequierungsfrist gewahrt. Das Gläubiger- doppel des Zahlungsbefehls habe sie am 28. November 2022 erhalten und durch</w:t>
      </w:r>
    </w:p>
    <w:p>
      <w:r>
        <w:t>- 4 - Einreichung des Rechtsöffnungsgesuchs am gleichen Tag auch diese Prosequie- rungsfrist gewahrt. Die örtliche Zuständigkeit am Arrestort sei damit noch gege- ben. Sie habe sodann zwar mit dem Rechtsöffnungsgesuch die Rückseite des Verlustscheins nicht eingereicht. Die fehlende Rückseite hätte jedoch jederzeit nachgereicht werden können und werde mit der Beschwerde eingereicht (Urk. 7). d) Wie dargelegt (oben Erwägung 2.a), sind im Beschwerdeverfahren neue, nicht bereits im vorinstanzlichen Verfahren erhobene Behauptungen unzu- lässig (Art. 326 Abs. 1 ZPO). Die Gesuchstellerin macht in ihrer Beschwerde nicht geltend, dass sie die Beschwerdebehauptungen zur Rechtzeitigkeit der Arrestpro- seqierung entgegen den Erwägungen des angefochtenen Urteils bereits im vor- instanzlichen Verfahren aufgestellt hätte; sie gelten damit als neu und können dementsprechend im Beschwerdeverfahren nicht berücksichtigt werden. Gleiches gilt für die erst im Beschwerdeverfahren eingereichte vollständige Ausfertigung des Pfändungsverlustscheins vom 13. August 2021 (Rechtsöffnungstitel; Urk. 9/12). Auch diese kann zufolge des Ausschlusses neuer Beweismittel im Be- schwerdeverfahren (Art. 326 Abs. 1 ZPO; oben Erw. 2.a) nicht berücksichtigt wer- den. Neben den genannten Vorbringen, welche im Beschwerdeverfahren nicht berücksichtigt werden können, werden in der Beschwerde keine Beanstandungen der Erwägungen des angefochtenen Entscheids geltend gemacht. Es wird nicht geltend gemacht, dass die Vorinstanz aufgrund des beim angefochtenen Ent- scheid vorliegenden Behauptungs- und Aktenstandes das Recht unrichtig ange- wandt hätte, und es wird auch nicht geltend gemacht, dass sie dabei den Sach- verhalt offensichtlich unrichtig festgestellt hätte. e) Nach dem Gesagten erweist sich die Beschwerde als offensichtlich un- begründet. Sie ist demgemäss abzuweisen.</w:t>
      </w:r>
    </w:p>
    <w:p>
      <w:r>
        <w:rPr>
          <w:b/>
        </w:rPr>
        <w:t>E. 3</w:t>
      </w:r>
    </w:p>
    <w:p>
      <w:r>
        <w:t>a) Für das Beschwerdeverfahren beträgt der Streitwert Fr. 9'530.70. Die zweitinstanzliche Entscheidgebühr ist in Anwendung von Art. 48 i.V.m. Art. 61 Abs. 1 GebV SchKG auf Fr. 300.-- festzusetzen. b) Die Gerichtskosten des Beschwerdeverfahrens sind ausgangsgemäss der Gesuchstellerin aufzuerlegen (Art. 106 Abs. 1 ZPO).</w:t>
      </w:r>
    </w:p>
    <w:p>
      <w:r>
        <w:t>- 5 - c) Für das Beschwerdeverfahren sind keine Parteientschädigungen zuzu- sprechen, der Gesuchstellerin zufolge ihres Unterliegens, dem Gesuchsgegner mangels relevanter Umtriebe (Art. 106 Abs. 1, Art. 95 Abs. 3 ZPO). d) Die Vorinstanz hatte auf eine Mitteilung ihres Entscheids an den in der Türkei wohnenden Gesuchsteller verzichtet, da er durch diesen nicht belastet sei (Urk. 8 Erw. 6). Für das Beschwerdeverfahren ist gleich zu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