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RT220202 vom 5. Januar 2023</w:t>
      </w:r>
    </w:p>
    <w:p>
      <w:r>
        <w:t>ZH Obergericht, 2023-01-05, DE</w:t>
      </w:r>
    </w:p>
    <w:p>
      <w:r>
        <w:rPr>
          <w:b/>
        </w:rPr>
        <w:t xml:space="preserve">Quelle: </w:t>
      </w:r>
      <w:r>
        <w:t>https://mcp.opencaselaw.ch/entscheid/zh_obergericht_RT220202</w:t>
      </w:r>
    </w:p>
    <w:p>
      <w:r>
        <w:t>FR: ZH_OBERGERICHT RT220202 du 5 janvier 2023</w:t>
      </w:r>
    </w:p>
    <w:p>
      <w:r>
        <w:t>IT: ZH_OBERGERICHT RT220202 del 5 gennaio 2023</w:t>
      </w:r>
    </w:p>
    <w:p>
      <w:pPr>
        <w:pStyle w:val="Heading2"/>
      </w:pPr>
      <w:r>
        <w:t>Erwägungen</w:t>
      </w:r>
    </w:p>
    <w:p>
      <w:r>
        <w:rPr>
          <w:b/>
        </w:rPr>
        <w:t>E. 2</w:t>
      </w:r>
    </w:p>
    <w:p>
      <w:r>
        <w:t>Die Vorinstanz erwog, die Gesuchstellerin habe als Rechtsöffnungstitel eine Rechnung an die Gesuchsgegnerin vom 30. Mai 2022 (Urk. 2/1) sowie als weitere Beilagen ein Schreiben der Gesuchsgegnerin vom 2. Juni 2022 (Urk. 2/2), ein Schreiben der Gesuchstellerin vom 17. Juni 2022 (Urk. 2/3) und den Zahlungsbe- fehl des Betreibungsamtes Volketswil vom 28. Juli 2022 (Urk. 2/4) eingereicht. Die von der Gesuchstellerin eingereichte Rechnung vom 30. Mai 2022 (Urk. 2/1) sei von der Gesuchsgegnerin nicht unterzeichnet worden, weshalb keine Schuldan- erkennung i.S.v. Art. 82 SchKG vorliege. Auch aus dem Schreiben der Gesuchs- gegnerin vom 2. Juni 2022 (Urk. 2/2) gehe nicht hervor, dass sich diese zur Zah- lung der in der Rechnung ausgewiesenen Summe durch eigenhändige Unter- schrift verpflichtet habe. Es fehle daher an einem gültigen Rechtsöffnungstitel gemäss Art. 82 SchKG, weshalb das Rechtsöffnungsbegehren abzuweisen sei (Urk. 6 S. 2 f.).</w:t>
      </w:r>
    </w:p>
    <w:p>
      <w:r>
        <w:t>- 3 - 3.1.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Beschwerdeschrift der Gesuch- stellerin nicht. Darin schildert und ergänzt die Gesuchstellerin den aus ihrer Sicht relevanten Sachverhalt (Die "Entstopfung" sei ca. zwischen 10 und 11 m gelegen, weshalb der Fallstrang habe entstopft werden müssen. Dies sei nicht Sache des Mieters, sondern des Eigentümers [Urk. 6]). Hingegen setzt sich die Gesuchstelle- rin in ihrer Beschwerde nicht einmal ansatzweise mit den Erwägungen der Vorin- stanz im angefochtenen Entscheid auseinander. Insbesondere zeigt sie nicht auf, dass die Vorinstanz zu Unrecht davon ausging, sie habe keine durch Unterschrift der Gesuchsgegnerin bekräftigte Schuldanerkennung vorgelegt, da ihre Rech- nung vom 30. Mai 2022 (Urk. 2/1) von der Gesuchsgegnerin nicht unterzeichnet worden sei und aus dem Schreiben der Gesuchsgegnerin vom 2. Juni 2022 (Urk. 2/2) keine Schuldanerkennung hervorgehe. Damit genügt die Gesuchstelle- rin ihrer Begründungsobliegenheit (vgl. oben Ziff. 3.1) nicht, weshalb auf die Be- schwerde nicht einzutreten ist. 4.1. Auf das Erheben von Kosten ist umständehalber zu verzichten. 4.2. Für das Beschwerdeverfahren sind keine Parteientschädigungen zuzuspre- chen, der Gesuchstellerin zufolge ihres Unterliegens (Art. 106 Abs. 1 ZPO), der Gesuchsgegnerin mangels relevanter Umtriebe (Art. 95 Abs. 3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