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RT220184 vom 24. November 2022</w:t>
      </w:r>
    </w:p>
    <w:p>
      <w:r>
        <w:t>ZH Obergericht, 2022-11-24, DE</w:t>
      </w:r>
    </w:p>
    <w:p>
      <w:r>
        <w:rPr>
          <w:b/>
        </w:rPr>
        <w:t xml:space="preserve">Quelle: </w:t>
      </w:r>
      <w:r>
        <w:t>https://mcp.opencaselaw.ch/entscheid/zh_obergericht_RT220184</w:t>
      </w:r>
    </w:p>
    <w:p>
      <w:r>
        <w:t>FR: ZH_OBERGERICHT RT220184 du 24 novembre 2022</w:t>
      </w:r>
    </w:p>
    <w:p>
      <w:r>
        <w:t>IT: ZH_OBERGERICHT RT220184 del 24 novembre 2022</w:t>
      </w:r>
    </w:p>
    <w:p>
      <w:pPr>
        <w:pStyle w:val="Heading2"/>
      </w:pPr>
      <w:r>
        <w:t>Erwägungen</w:t>
      </w:r>
    </w:p>
    <w:p>
      <w:r>
        <w:rPr>
          <w:b/>
        </w:rPr>
        <w:t>E. 1</w:t>
      </w:r>
    </w:p>
    <w:p>
      <w:r>
        <w:t>a) Mit zunächst ohne Begründung eröffnetem (Urk. 7), hernach begründe- tem Urteil vom 28. September 2022 erteilte die Vorinstanz den Gesuchstellern und Beschwerdegegnern (fortan Gesuchsteller) in der Betreibung Nr. … des Be- treibungsamtes Opfikon (Zahlungsbefehl vom 30. Juni 2022) gestützt auf den Einschätzungsentscheid vom 31. März 2021 und die Schlussrechnung vom 5. Mai 2021 für ausstehende Staats- und Gemeindesteuern 2019 definitive Rechtsöff- nung für Fr. 44'558.75 nebst Zins zu 4.5 % seit 30. Juni 2022, Fr. 205.80 (Aus- gleichszins), Fr. 2'120.50 (aufgelaufener Verzugszins bis 29. Juni 2022) sowie für die Betreibungs- und Prozesskosten. Im Mehrbetrag von Fr. 18.30 (aufgelaufener Verzugszins) wies die Vorinstanz das Rechtsöffnungsbegehren ab (Urk. 11 S. 7 = Urk. 16 S. 7). b) Mit undatierter Eingabe wandte sich der Gesuchsgegner an die Vor- instanz (zur Post gegeben am 4. November 2022; bei der Vorinstanz eingegan- gen am 7. November 2022; siehe an Urk. 15 angehefteter Briefumschlag sowie Track and Trace-Auszug der Post) und machte geltend, er sei mit diesem Ent- scheid nicht einverstanden. Die Vorinstanz leitete die Eingabe mit Schreiben vom 9. November 2022 (Urk. 17) an die beschliessende Kammer weiter (vgl. an Urk. 15 angehefteter zweiter Briefumschlag). Zulässiges Rechtsmittel gegen den vorinstanzlichen Entscheid ist die Beschwerde (Art. 319 lit. a i.V.m. Art. 309 lit. b Ziff. 3 ZPO). Die Eingabe des Gesuchsgegners ist als Beschwerde entgegenzu- nehmen. Der Gesuchsgegner holte den vorinstanzlichen Entscheid am 2. No- vember 2022 ab. Seine an die Vorinstanz gerichtete, undatierte Beschwerde- schrift ging damit innert Frist ein (Art. 321 Abs. 2 ZPO).</w:t>
      </w:r>
    </w:p>
    <w:p>
      <w:r>
        <w:rPr>
          <w:b/>
        </w:rPr>
        <w:t>E. 2</w:t>
      </w:r>
    </w:p>
    <w:p>
      <w:r>
        <w:t>a) Mit der Beschwerde können unrichtige Rechtsanwendung und offen- sichtlich unrichtige Feststellung des Sachverhalts geltend gemacht werden (Art. 320 ZPO). Die beschwerdeführende Partei muss sich in der Beschwerdebe- gründung konkret mit den Erwägungen der Vorinstanz auseinandersetzen und hinreichend genau aufzeigen, inwiefern der angefochtene Entscheid als fehlerhaft zu betrachten ist, d.h. an einem der genannten Mängel leidet (Art. 321 Abs. 1</w:t>
      </w:r>
    </w:p>
    <w:p>
      <w:r>
        <w:t>- 3 - ZPO). Ferner hat die Beschwerdeschrift konkrete Anträge zu enthalten, aus de- nen eindeutig hervorgeht, in welchem Umfang der vorinstanzliche Entscheid an- gefochten wird und wie der Entscheid stattdessen zu lauten hätte. Auf Geldzah- lungen gerichtete Anträge müssen beziffert sein. Ergeben sich auch unter Einbe- zug der Begründung (allenfalls in Verbindung mit dem angefochtenen Entscheid) keine genügenden Anträge, ist auf die Beschwerde nicht einzutreten, ohne dass eine Nachfrist anzusetzen wäre (vgl. zum Ganzen BGE 137 III 617). b) Die Beschwerdeschrift des Gesuchsgegners enthält keinen konkreten Antrag. Die Rüge, "Mit diesem Entscheid bin ich nicht einverstanden" (Urk. 15 S. 1), genügt nicht. In der Beschwerdebegründung erwähnt der Gesuchsgegner, er habe damals mit dem Steueramt eine Lösung gefunden und auch bereits Eini- ges gezahlt. Man habe ihm für den Fall, dass es nicht gehen sollte, in Aussicht gestellt, dass man miteinander eine Lösung finden werde. Das sei hier nicht der Fall (Urk. 15 S. 1 f.). Mit diesen Vorbringen bleibt unklar, was genau der Ge- suchsgegner mit seiner Beschwerde erreichen will, das heisst aus der Beschwer- de geht nicht hervor, wie der angefochtene Entscheid seiner Ansicht nach lauten sollte. Dass er die vollumfängliche Abweisung des Rechtsöffnungsgesuchs errei- chen will, erscheint nicht wahrscheinlich, nachdem er sinngemäss das Bestehen einer Schuld und bereits geleistete Zahlungen einräumt. Für welchen Betrag er die Abweisung des Rechtsöffnungsgesuchs jedoch erreichen will, lässt sich nicht eruieren. Im Ergebnis liegt daher kein genügender, bezifferter Beschwerdeantrag vor. Nach dem Gesagten erweist sich die Beschwerde als offensichtlich unzuläs- sig bzw. unbegründet, weshalb darauf nicht einzutreten ist.</w:t>
      </w:r>
    </w:p>
    <w:p>
      <w:r>
        <w:rPr>
          <w:b/>
        </w:rPr>
        <w:t>E. 3</w:t>
      </w:r>
    </w:p>
    <w:p>
      <w:r>
        <w:t>a) Die zweitinstanzliche Entscheidgebühr ist in Anwendung von Art. 48 i.V.m. Art. 61 Abs. 1 GebV SchKG auf Fr. 500.– festzusetzen. Bei Nichteintreten gilt die klagende Partei bzw. die Partei, welche das Rechtsmittel erhoben hat, als unterliegend (vgl. Art. 106 Abs. 1 ZPO). Ausgangsgemäss sind die Gerichtskos- ten dem unterliegenden Gesuchsgegner aufzuerlegen. b) Für das Beschwerdeverfahren sind keine Parteientschädigungen zuzu- sprechen, dem Gesuchsgegner zufolge seines Unterliegens, den Gesuchstellern mangels relevanter Umtriebe (Art. 106 Abs. 1, Art. 95 Abs. 3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