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RT220161 vom 24. November 2022</w:t>
      </w:r>
    </w:p>
    <w:p>
      <w:r>
        <w:t>ZH Obergericht, 2022-11-24, DE</w:t>
      </w:r>
    </w:p>
    <w:p>
      <w:r>
        <w:rPr>
          <w:b/>
        </w:rPr>
        <w:t xml:space="preserve">Quelle: </w:t>
      </w:r>
      <w:r>
        <w:t>https://mcp.opencaselaw.ch/entscheid/zh_obergericht_RT220161</w:t>
      </w:r>
    </w:p>
    <w:p>
      <w:r>
        <w:t>FR: ZH_OBERGERICHT RT220161 du 24 novembre 2022</w:t>
      </w:r>
    </w:p>
    <w:p>
      <w:r>
        <w:t>IT: ZH_OBERGERICHT RT220161 del 24 novembre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a) Mit Urteil vom 11. Juli 2022 erteilte das Bezirksgericht Bülach (Vorinstanz) der Gesuchstellerin in der Betreibung Nr. 1 des Betreibungsamts Opfikon (Zahlungsbefehl vom 22. März 2022) – für ausstehende Honorarforde- rungen gestützt auf einen Vertrag – provisorische Rechtsöffnung für Fr. 2'692.50 nebst 5% Zins seit 16. Juni 2021, Fr. 5'385.-- nebst 5% Zins seit 14. August 2021, Fr. 2'692.50 nebst 5% Zins seit 16. Oktober 2021 und Fr. 10'770.-- (ohne Zins); die Kostenfolgen wurden zu Lasten der Gesuchsgegnerin geregelt (nach- träglich begründet; Urk. 15 = Urk. 18). b) Hiergegen erhob die Gesuchsgegnerin am 28. September 2022 fristge- recht (vgl. Urk. 16: Zustellung am 22. September 2022) Beschwerde und stellte die Beschwerdeanträge (Urk. 17 S. 2): "1. Das Urteil des Bezirksgerichts Bülach vom 11. Juli 2022 (Verfahren EB220248-C/U1) sei aufzuheben.</w:t>
      </w:r>
    </w:p>
    <w:p>
      <w:r>
        <w:rPr>
          <w:b/>
        </w:rPr>
        <w:t>E. 2</w:t>
      </w:r>
    </w:p>
    <w:p>
      <w:r>
        <w:t>Das von der Gesuchstellerin / Beschwerdegegnerin eingereichte Ge- such um Rechtsöffnung vom 8. April 2022 sei vollumfänglich abzuwei- sen.</w:t>
      </w:r>
    </w:p>
    <w:p>
      <w:r>
        <w:rPr>
          <w:b/>
        </w:rPr>
        <w:t>E. 3</w:t>
      </w:r>
    </w:p>
    <w:p>
      <w:r>
        <w:t>a) Für das Beschwerdeverfahren beträgt der Streitwert Fr. 21'540.--. Die zweitinstanzliche Entscheidgebühr ist in Anwendung von Art. 48 i.V.m. Art. 61 Abs. 1 GebV SchKG auf Fr. 750.-- festzusetzen. b) Die Gerichtskosten des Beschwerdeverfahrens sind ausgangsgemäss der Gesuchstellerin aufzuerlegen (Art. 106 Abs. 1 ZPO). Sie sind aus dem von der Gesuchsgegnerin geleisteten Kostenvorschuss zu beziehen, sind ihr aber von der Gesuchstellerin zu ersetzen (Art. 111 Abs. 1 und 2 ZPO). c) Die Gesuchstellerin ist zu verpflichten, der Gesuchsgegnerin für das Beschwerdeverfahren eine Parteientschädigung von Fr. 650.-- (§ 4 Abs. 1, § 9 und § 13 AnwGebV; 7.7 % Mehrwertsteuer inbegriffen) zu bezahlen (Art. 95 Abs. 3 lit. b, Art. 106 Abs. 1 ZPO). Es wird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