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RT220157 vom 6. Oktober 2022</w:t>
      </w:r>
    </w:p>
    <w:p>
      <w:r>
        <w:t>ZH Obergericht, 2022-10-06, DE</w:t>
      </w:r>
    </w:p>
    <w:p>
      <w:r>
        <w:rPr>
          <w:b/>
        </w:rPr>
        <w:t xml:space="preserve">Quelle: </w:t>
      </w:r>
      <w:r>
        <w:t>https://mcp.opencaselaw.ch/entscheid/zh_obergericht_RT220157</w:t>
      </w:r>
    </w:p>
    <w:p>
      <w:r>
        <w:t>FR: ZH_OBERGERICHT RT220157 du 6 octobre 2022</w:t>
      </w:r>
    </w:p>
    <w:p>
      <w:r>
        <w:t>IT: ZH_OBERGERICHT RT220157 del 6 ottobre 2022</w:t>
      </w:r>
    </w:p>
    <w:p>
      <w:pPr>
        <w:pStyle w:val="Heading2"/>
      </w:pPr>
      <w:r>
        <w:t>Erwägungen</w:t>
      </w:r>
    </w:p>
    <w:p>
      <w:r>
        <w:rPr>
          <w:b/>
        </w:rPr>
        <w:t>E. 1</w:t>
      </w:r>
    </w:p>
    <w:p>
      <w:r>
        <w:t>a) Mit Urteil vom 13. September 2022 erteilte das Bezirksgericht Zü- rich (Vorinstanz) dem Gesuchsteller in der Betreibung Nr. … des Betreibungsamts Zürich 8 (Zahlungsbefehl vom 13. Dezember 2021) – für die direkte Bundessteuer 2018 – definitive Rechtsöffnung für Fr. 6'630.-- nebst 3% Zins seit 7. Dezember 2021, Fr. 106.10 (Zins) und Fr. 79.55 (Zins bis 6. Dezember 2021); die Kostenfol- gen wurden zu Lasten der Gesuchsgegnerin geregelt (Urk. 10 = Urk. 14). b) Hiergegen erhob die Gesuchsgegnerin am 22. September 2022 fristge- recht Beschwerde und stellte sinngemäss den Beschwerdeantrag (Urk. 13): Das angefochtene Urteil sei aufzuheben und dem Gesuchsteller sei keine Rechtsöffnung zu erteilen. c) Die vorinstanzlichen Akten wurden beigezogen. Da sich die Beschwer- de sogleich als unbegründet erweist, kann auf weitere Prozesshandlungen ver- 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b) Die Vorinstanz erwog im Wesentlichen, der Gesuchsteller stütze sich auf die Veranlagungsverfügung und Steuerrechnung des kantonalen Steueramts Zürich vom 14. Februar 2020 für die direkte Bundessteuer 2018 sowie auf den rechtskräftigen Einspracheentscheid vom 7. Juli 2021, worin auf die Einsprache des Gesuchsgegners nicht eingetreten worden sei, und die vollstreckbare Steuer- rechnung vom 12. Juli 2021 aufgrund des Einspracheverfahrens. Mit diesen Do-</w:t>
      </w:r>
    </w:p>
    <w:p>
      <w:r>
        <w:t>- 3 - kumenten sei die Gesuchsgegnerin zur Zahlung von Steuern von Fr. 6'630.-- nebst Zins von Fr. 106.10 verpflichtet worden. Die Veranlagungsverfügung stelle in Verbindung mit der Steuerrechnung vom 12. Juli 2021 einen definitiven Rechtsöffnungstitel dar. Die Gesuchsgegnerin habe in ihrer Stellungnahme bloss auf die von ihr eingereichten Unterlagen verwiesen; dies genüge nicht. Aber selbst wenn diese Unterlagen berücksichtigt würden, ergäbe sich kein anderes Resultat, denn mit diesen würden nicht Tilgung, Stundung oder Verjährung (als im definitiven Rechtsöffnungsverfahren einzig mögliche Einwendungen) geltend ge- macht, sondern die inhaltliche Unrichtigkeit der Steuerentscheide; diese dürften vom Rechtsöffnungsgericht jedoch nicht überprüft werden. Betragsmässig sei die Forderung samt Zins ausgewiesen, womit definitive Rechtsöffnung zu erteilen sei (Urk. 14 Erwägung 2). c) Die Gesuchsgegnerin macht in ihrer Beschwerde im Wesentlichen gel- tend, die Veranlagungsverfügung und Steuerrechnung stellten keine vollstreckba- re Steuerrechnung dar. Auch wenn deren inhaltliche Richtigkeit nicht überprüft werden könne, sei doch die Aussetzung der Vollstreckung zu verlangen. In den Jahren 2020 und 2021 seien die Einnahmen aufgrund der Massnahmen der Rei- seländer vollständig eingebrochen. Mit der Wiedereröffnung des Reiselandes Saudi-Arabien im September 2022 bestehe nun eine Möglichkeit, die Geschäfts- tätigkeit wieder aufzubauen. Eine jetzige Vollstreckung der Steuerschuld wäre existenzbedrohend. Daher sei die Vollstreckung auszusetzen (Urk. 13). d) Dass die Veranlagungsverfügung und die Steuerrechnung vom 14. Februar 2021 bzw. 12. Juli 2021 aufgrund des Einspracheentscheids vom</w:t>
      </w:r>
    </w:p>
    <w:p>
      <w:r>
        <w:rPr>
          <w:b/>
        </w:rPr>
        <w:t>E. 7</w:t>
      </w:r>
    </w:p>
    <w:p>
      <w:r>
        <w:t>Juli 2021 rechtskräftig und vollstreckbar sind, hat bereits die Vorinstanz darge- legt (Urk. 14 Erwägung 2.2). Diese Erwägungen werden in der Beschwerde nicht beanstandet, womit es bei diesen und der darauf gestützten Feststellung der Qualität als definitiver Rechtsöffnungstitel bleibt. Soweit die Gesuchsgegnerin feh- lende Geldmittel zur Zahlung der Steuerschuld geltend macht, kann dieses Vor- bringen nicht berücksichtigt werden. Wie bereits die Vorinstanz dargelegt hat (Urk. 14 Erwägung 2.2), kann das Rechtsöffnungsgericht im Verfahren auf defini- tive Rechtsöffnung einzig prüfen, ob der vorgelegte Titel vollstreckbar ist (was vor-</w:t>
      </w:r>
    </w:p>
    <w:p>
      <w:r>
        <w:t>- 4 - liegend zu bejahen ist) und ob die Einwendungen der Tilgung (Zahlung), Stun- dung oder Verjährung erhoben wurden und berechtigt sind. Dagegen darf das Rechtsöffnungsgericht nicht prüfen, ob die Forderung inhaltlich richtig ("gerecht") ist oder ob der Schuldner über die nötigen Geldmittel verfügt, um die Forderung zu begleichen. Eine unrichtige Rechtsanwendung liegt hierbei nicht vor. e) Nach dem Gesagten erweist sich die Beschwerde als unbegründet. Sie ist demgemäss abzuweisen. 3. a) Für das Beschwerdeverfahren beträgt der Streitwert Fr. 6'630.--. Die zweitinstanzliche Entscheidgebühr ist in Anwendung von Art. 48 i.V.m. Art. 61 Abs. 1 GebV SchKG auf Fr. 300.-- festzusetzen. b) Die Gerichtskosten des Beschwerdeverfahrens sind ausgangsgemäss der Gesuchsgegnerin aufzuerlegen (Art. 106 Abs. 1 ZPO). c) Für das Beschwerdeverfahren sind keine Parteientschädigungen zuzu- sprechen, der Gesuchsgegnerin zufolge ihres Unterliegens, dem Gesuchsteller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