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RT220155 vom 6. Oktober 2022</w:t>
      </w:r>
    </w:p>
    <w:p>
      <w:r>
        <w:t>ZH Obergericht, 2022-10-06, DE</w:t>
      </w:r>
    </w:p>
    <w:p>
      <w:r>
        <w:rPr>
          <w:b/>
        </w:rPr>
        <w:t xml:space="preserve">Quelle: </w:t>
      </w:r>
      <w:r>
        <w:t>https://mcp.opencaselaw.ch/entscheid/zh_obergericht_RT220155</w:t>
      </w:r>
    </w:p>
    <w:p>
      <w:r>
        <w:t>FR: ZH_OBERGERICHT RT220155 du 6 octobre 2022</w:t>
      </w:r>
    </w:p>
    <w:p>
      <w:r>
        <w:t>IT: ZH_OBERGERICHT RT220155 del 6 ottobre 2022</w:t>
      </w:r>
    </w:p>
    <w:p>
      <w:pPr>
        <w:pStyle w:val="Heading2"/>
      </w:pPr>
      <w:r>
        <w:t>Erwägungen</w:t>
      </w:r>
    </w:p>
    <w:p>
      <w:r>
        <w:rPr>
          <w:b/>
        </w:rPr>
        <w:t>E. 1</w:t>
      </w:r>
    </w:p>
    <w:p>
      <w:r>
        <w:t>a) Mit Urteil und Verfügung vom 6. September 2022 schrieb das Be- zirksgericht Uster (Vorinstanz) das Rechtsöffnungsverfahren in der Betreibung Nr. 1 des Betreibungsamts Uster (Zahlungsbefehl vom 13. Juni 2022) im Umfang der betriebenen Forderung und der Betreibungskosten ab und erteilte sodann der Gesuchstellerin in der nämlichen Betreibung definitive Rechtsöffnung für Kosten und Entschädigung gemäss diesem Entscheid; die Kosten- und Entschädigungs- folgen wurden zu Lasten des Gesuchsgegners geregelt (Urk. 12 = Urk. 15). b) Gegen diesen ihm am 9. September 2022 zugestellten (Urk. 13) Ent- scheid erhob der Gesuchsgegner am 19. September 2022 fristgerecht Beschwer- de und stellte die Beschwerdeanträge (Urk. 14 S. 2): "1. Es seien die Urteile des Bezirksgerichts Uster vom 6. September 2022 (GeschäftsNr. EB220265-I, EB220266-I) vollumfänglich aufzuheben und der Beschwerdegegnerin die definitive Rechtsöffnung in Betreibung Nr. 1, 2 Betreibungsamt Uster, zu verweigern. Eventualiter sei das Urteil an die Vorinstanz zurückzuweisen.</w:t>
      </w:r>
    </w:p>
    <w:p>
      <w:r>
        <w:rPr>
          <w:b/>
        </w:rPr>
        <w:t>E. 2</w:t>
      </w:r>
    </w:p>
    <w:p>
      <w:r>
        <w:t>Alles unter Kosten- und Entschädigungsfolgen zulasten der Beschwer- degegnerin zuzüglich MWST.</w:t>
      </w:r>
    </w:p>
    <w:p>
      <w:r>
        <w:rPr>
          <w:b/>
        </w:rPr>
        <w:t>E. 3</w:t>
      </w:r>
    </w:p>
    <w:p>
      <w:r>
        <w:t>a) Für das Beschwerdeverfahren beträgt der Streitwert Fr. 1'912.--. Die zweitinstanzliche Entscheidgebühr ist in Anwendung von Art. 48 i.V.m. Art. 61 Abs. 1 GebV SchKG auf Fr. 100.-- festzusetzen. b) Die Gerichtskosten des Beschwerdeverfahrens sind ausgangsgemäss dem Gesuchsgegner aufzuerlegen (Art. 106 Abs. 1 ZPO). c) Für das Beschwerdeverfahren sind keine Parteientschädigungen zuzu- sprechen, dem Gesuchsgegner zufolge seines Unterliegens, der Gesuchstellerin mangels relevanter Umtriebe (Art. 106 Abs. 1,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