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RT220152 vom 21. September 2022</w:t>
      </w:r>
    </w:p>
    <w:p>
      <w:r>
        <w:t>ZH Obergericht, 2022-09-21, DE</w:t>
      </w:r>
    </w:p>
    <w:p>
      <w:r>
        <w:rPr>
          <w:b/>
        </w:rPr>
        <w:t xml:space="preserve">Quelle: </w:t>
      </w:r>
      <w:r>
        <w:t>https://mcp.opencaselaw.ch/entscheid/zh_obergericht_RT220152</w:t>
      </w:r>
    </w:p>
    <w:p>
      <w:r>
        <w:t>FR: ZH_OBERGERICHT RT220152 du 21 septembre 2022</w:t>
      </w:r>
    </w:p>
    <w:p>
      <w:r>
        <w:t>IT: ZH_OBERGERICHT RT220152 del 21 settembre 2022</w:t>
      </w:r>
    </w:p>
    <w:p>
      <w:pPr>
        <w:pStyle w:val="Heading2"/>
      </w:pPr>
      <w:r>
        <w:t>Erwägungen</w:t>
      </w:r>
    </w:p>
    <w:p>
      <w:r>
        <w:rPr>
          <w:b/>
        </w:rPr>
        <w:t>E. 23</w:t>
      </w:r>
    </w:p>
    <w:p>
      <w:r>
        <w:t>November 2021, um Erteilung der definitiven Rechtsöffnung für Fr. 49'201.60 zuzüglich 3% Zins seit dem 17. November 2021, Fr. 8.10 Zins, Fr. 468.80 Zins bis 16. November 2021 sowie Fr. 111.30 Betreibungskosten (Urk. 5/1). 1.2 Mit Verfügung vom 19. August 2022 ordnete die Vorinstanz das schriftliche Verfahren an und setzte der Gesuchsgegnerin eine letztmalige Frist von 14 Tagen zur Stellungnahme zum Rechtsöffnungsgesuch an (Urk. 2 S. 2 f. = Urk. 5/5 S. 2 f.). 1.3. Hiergegen erhob die Gesuchsgegnerin mit Eingabe vom 9. September 2022 rechtzeitig (vgl. Art. 321 Abs. 2 ZPO sowie Urk. 5/6/1) Beschwerde (Urk. 1). 1.4. Die vorinstanzlichen Akten wurden beigezogen (Urk. 5/1-6). Da sich die Be- schwerde – wie nachfolgend aufzuzeigen sein wird – sogleich als offensichtlich unzulässig erweist, erübrigt sich das Einholen einer Beschwerdeantwort (Art. 322 Abs. 1 ZPO). 2.1. Die angefochtene Verfügung ist prozessleitender Natur. Gegen prozesslei- tende Verfügungen ist die Beschwerde – von den hier nicht einschlägigen, im Ge- setz explizit vorgesehenen Fällen (Art. 319 lit. b Ziff. 1 ZPO) abgesehen – nur zu- lässig, wenn durch sie der beschwerdeführenden Partei ein nicht leicht wiedergut- zumachender Nachteil droht (Art. 319 lit. b Ziff. 2 ZPO). Darauf hat schon die Vor- instanz in ihrer Rechtsmittelbelehrung hingewiesen (Urk. 2 S. 3 Dispositiv-Ziff. 4). 2.2. Die Gesuchsgegnerin bringt in ihrer Beschwerde lediglich vor, die in Betrei- bung gesetzte Steuerforderung beruhe auf einer willkürlichen und unrealistischen Steuereinschätzung und sei in dieser Höhe nicht gerechtfertigt. Ein geschätztes Einkommen von Fr. 470'000.– sei bei einem tatsächlichen Einkommen in der Hö- he von ca. Fr. 80'000.– nicht mehr vertretbar und "wirklich reine Willkür" (Urk. 1).</w:t>
      </w:r>
    </w:p>
    <w:p>
      <w:r>
        <w:t>- 3 - Damit stellt sich die Gesuchsgegnerin gegen die Erteilung der definitiven Rechtsöffnung, ohne aber aufzuzeigen, inwiefern ihr durch die Anordnung des schriftlichen Verfahrens und/oder die Fristansetzung zur Stellungnahme ein nicht leicht wiedergutzumachender Nachteil droht. Dies ist auch nicht ersichtlich: So besteht zum einen im Verfahren betreffend Erteilung der definitiven Rechtsöff- nung kein Anspruch auf eine mündliche Verhandlung (BGE 141 I 97 E. 5). Zum anderen kann eine allfällige Verletzung des rechtlichen Gehörs (z.B. wenn das Verfahren zu Unrecht ohne die Stellungnahme der Gesuchsgegnerin fortgesetzt würde) ohne Weiteres im Rahmen eines Rechtsmittels gegen den Endentscheid beanstandet und gegebenenfalls korrigiert werden (vgl. BGer 5A_307/2011 vom 13. Juli 2011, E. 2; BGE 133 III 629 E. 2.3.1). Entsprechend sind die Vorausset- zungen für eine selbständige Anfechtung der Verfügung vom 19. August 2022 nicht erfüllt, weshalb auf die Beschwerde nicht einzutreten ist. 3.1. Die Entscheidgebühr für das Beschwerdeverfahren ist in Anwendung von Art. 48 i.V.m. Art. 61 Abs. 1 GebV SchKG auf Fr. 300.– festzusetzen. Die Ge- richtskosten sind ausgangsgemäss der Gesuchsgegnerin aufzuerlegen (Art. 106 Abs. 1 ZPO). 3.2. Für das Beschwerdeverfahren sind keine Parteientschädigungen zuzuspre- chen, der Gesuchsgegnerin zufolge ihres Unterliegens (Art. 106 Abs. 1 ZPO),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