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RT220151 vom 3. Oktober 2022</w:t>
      </w:r>
    </w:p>
    <w:p>
      <w:r>
        <w:t>ZH Obergericht, 2022-10-03, DE</w:t>
      </w:r>
    </w:p>
    <w:p>
      <w:r>
        <w:rPr>
          <w:b/>
        </w:rPr>
        <w:t xml:space="preserve">Quelle: </w:t>
      </w:r>
      <w:r>
        <w:t>https://mcp.opencaselaw.ch/entscheid/zh_obergericht_RT220151</w:t>
      </w:r>
    </w:p>
    <w:p>
      <w:r>
        <w:t>FR: ZH_OBERGERICHT RT220151 du 3 octobre 2022</w:t>
      </w:r>
    </w:p>
    <w:p>
      <w:r>
        <w:t>IT: ZH_OBERGERICHT RT220151 del 3 ottobre 2022</w:t>
      </w:r>
    </w:p>
    <w:p>
      <w:pPr>
        <w:pStyle w:val="Heading2"/>
      </w:pPr>
      <w:r>
        <w:t>Erwägungen</w:t>
      </w:r>
    </w:p>
    <w:p>
      <w:r>
        <w:rPr>
          <w:b/>
        </w:rPr>
        <w:t>E. 2</w:t>
      </w:r>
    </w:p>
    <w:p>
      <w:r>
        <w:t>Die Vorinstanz erwog im Wesentlichen, der Gesuchsteller stütze sein Rechtsöffnungsbegehren im Umfang von Fr. 12'345.– auf vierzehn verschiedene Entscheide der Bezirksgerichte Meilen, Bülach und Zürich, des Obergerichts des Kantons Zürich, des Sozialversicherungsgerichts des Kantons Zürich sowie des Verwaltungsgerichts des Kantons Zürich. Diese Entscheide würden Rechtsöff- nungstitel im Sinne von Art. 80 Abs. 1 SchKG darstellen. Sodann stütze der Ge- suchsteller sein Rechtsöffnungsbegehren im Umfang von Fr. 179.15 auf einen Verlustschein vom 15. September 2009. Der Verlustschein entspreche für die da- rin verbrieften Betreibungskosten einer Verfügung einer schweizerischen Verwal- tungsbehörde und stelle daher auch einen definitiven Rechtsöffnungstitel im Sin- ne von Art. 80 Abs. 2 Ziff. 2 SchKG dar (Urk. 29 S. 3). Die gerichtlichen Entschei- de seien mit Rechtskraftbescheinigungen versehen und von der Vollstreckbarkeit und Fälligkeit des Verlustscheins könne ausgegangen werden, da weder Hinwei-</w:t>
      </w:r>
    </w:p>
    <w:p>
      <w:r>
        <w:t>- 3 - se für eine Beschwerde vorliegen würden noch geltend gemacht worden seien (Urk. 29 S. 3 f.). Da sich die im Rechtsöffnungsgesuch und im Zahlungsbefehl be- zeichneten Forderungen als identisch erwiesen mit denjenigen, die durch die Rechtsöffnungstitel ausgewiesen seien, und da die Identität der Parteien gewahrt sei, würden vollstreckbare definitive Rechtsöffnungstitel für die Gesamtforderung von Fr. 12'514.45 vorliegen (Urk. 29 S. 4 ff.). Die Einwendungen des Gesuchs- gegners würden sich gegen die inhaltliche Richtig- und Rechtmässigkeit der als Rechtsöffnungstitel eingereichten Urteile, insbesondere in Bezug auf frühere IV- Verfahren, richten. Dies sei nicht Gegenstand des Rechtsöffnungsverfahrens. Der Gesuchsgegner mache weder Tilgung noch Stundung oder Verjährung der Forde- rungen geltend. Entsprechend sei antragsgemäss für den Forderungsbetrag von Fr. 12'524.45 sowie für die angefallenen Betreibungskosten definitive Rechtsöff- nung zu erteilen (Urk. 29 S. 6 f.).</w:t>
      </w:r>
    </w:p>
    <w:p>
      <w:r>
        <w:rPr>
          <w:b/>
        </w:rPr>
        <w:t>E. 3</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sind im Beschwerdeverfahren ausgeschlossen (Novenverbot, vgl. Art. 326 Abs. 1 ZPO). 4.1 Die Beschwerdeschrift, die an das Bundesgericht adressiert ist (vgl. Urk. 27), aber der hiesigen Kammer mit entsprechendem Begleitschreiben einge- reicht wurde (vgl. Urk. 28) und sich teilweise auf das vorliegende Rechtsöffnungs-</w:t>
      </w:r>
    </w:p>
    <w:p>
      <w:r>
        <w:t>- 4 - verfahren bezieht, genügt den oben genannten Anforderungen nicht. Insbesonde- re setzt sich der Gesuchsgegner darin nicht mit den vorinstanzlichen Erwägungen auseinander, sondern übt – soweit verständlich – Kritik am "IV-Verfahren 1986 - 2022", dessen Vollstreckbarkeit er anzweifelt und in welchem Zusammenhang mutmasslich ein Prozess am Bundesgericht mit der Geschäfts-Nr. 9C_371/2022 anhängig ist. Auch wenn der Gesuchsgegner von einer notwendigen Gesamtbe- trachtung spricht (vgl. Urk. 27 S. 1 unten), ist nicht ersichtlich, was er daraus für das vorliegende Rechtsöffnungsverfahren ableiten möchte. Der Gesuchsgegner wird darauf hingewiesen, dass die Forderung im Rechtsöffnungsverfahren nicht mehr überprüft werden kann; das Rechtsöffnungsgericht ist keine Rechtsmitte- linstanz (vgl. dazu BGE 143 III 564 E. 4.3.1 = Pra 107/2018 Nr. 132; BGE 142 III 78 E. 3.1). Gleiches gilt im Übrigen auch für seine zusätzlichen Eingaben und Bei- lagen (Urk. 31 und 33-36), bei welchen kein Zusammenhang zum vorliegenden Verfahren ersichtlich ist und welche aufgrund des strengen Novenverbots ohnehin nicht zu berücksichtigen wären. Des Weiteren erweisen sich seine Vorbringen, der vorinstanzliche Entscheid sei falsch datiert und fälschlicherweise nicht von der Einzelrichterin unterzeichnet (Urk. 27 S. 9), als offensichtlich unzutreffend (vgl. insb. § 136 Satz 2 GOG ZH). Daneben richtet der Gesuchsgegner verschiedene Vorwürfe gegen die an den Verfahren beteiligten Personen sowie generell gegen den Schweizer Rechtsstaat (Urk. 27 S. 10 ff.), welche den Anforderungen gemäss Erw. 3 vorstehend nicht entsprechen und auf welche daher nicht weiter einzuge- hen ist. Rügen, welche sich konkret auf den vorinstanzlichen Entscheid beziehen, sind in der Beschwerdeschrift nicht zu finden. Entsprechend ist auf die Beschwer- de mangels genügender Begründung nicht einzutreten.</w:t>
      </w:r>
    </w:p>
    <w:p>
      <w:r>
        <w:rPr>
          <w:b/>
        </w:rPr>
        <w:t>E. 5</w:t>
      </w:r>
    </w:p>
    <w:p>
      <w:r>
        <w:t>Der Gesuchsgegner stellt sinngemäss ein Gesuch um unentgeltliche Rechtspflege (Urk. 27 S. 14). Gemäss Art. 117 ZPO hat eine Partei Anspruch auf unentgeltliche Rechtspflege, wenn sie nicht über die erforderlichen Mittel verfügt und ihr Rechtsbegehren nicht aussichtslos erscheint. Die Beschwerde war indes, wie oben aufgezeigt, von vornherein aussichtslos, weshalb dem Gesuchsgegner die von ihm beantragte unentgeltliche Rechtspflege für das zweitinstanzliche Ver- fahren nicht gewährt werden kann.</w:t>
      </w:r>
    </w:p>
    <w:p>
      <w:r>
        <w:t>- 5 - 6.1 Die Entscheidgebühr für das Beschwerdeverfahren ist in Anwendung von Art. 48 i.V.m. Art. 61 Abs. 1 GebV SchKG auf Fr. 300.– festzusetzen. Die Ge- richtskosten sind ausgangsgemäss dem Gesuchsgegner aufzuerlegen (Art. 106 Abs. 1 ZPO). 6.2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