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RT220136 vom 18. August 2022</w:t>
      </w:r>
    </w:p>
    <w:p>
      <w:r>
        <w:t>ZH Obergericht, 2022-08-18, DE</w:t>
      </w:r>
    </w:p>
    <w:p>
      <w:r>
        <w:rPr>
          <w:b/>
        </w:rPr>
        <w:t xml:space="preserve">Quelle: </w:t>
      </w:r>
      <w:r>
        <w:t>https://mcp.opencaselaw.ch/entscheid/zh_obergericht_RT220136</w:t>
      </w:r>
    </w:p>
    <w:p>
      <w:r>
        <w:t>FR: ZH_OBERGERICHT RT220136 du 18 août 2022</w:t>
      </w:r>
    </w:p>
    <w:p>
      <w:r>
        <w:t>IT: ZH_OBERGERICHT RT220136 del 18 agosto 2022</w:t>
      </w:r>
    </w:p>
    <w:p>
      <w:pPr>
        <w:pStyle w:val="Heading2"/>
      </w:pPr>
      <w:r>
        <w:t>Erwägungen</w:t>
      </w:r>
    </w:p>
    <w:p>
      <w:r>
        <w:rPr>
          <w:b/>
        </w:rPr>
        <w:t>E. 1</w:t>
      </w:r>
    </w:p>
    <w:p>
      <w:r>
        <w:t>a) Mit Urteil vom 19. Juli 2022 erteilte das Bezirksgericht Zürich (Vo- rinstanz) der Gesuchstellerin in der Betreibung Nr. … des Betreibungsamts Zü- rich 7 (Zahlungsbefehl vom 4. März 2022) – gestützt auf ein Urteil des Bundesge- richts – definitive Rechtsöffnung für Fr. 1'500.-- nebst 5% Zins seit 1. November 2021; die Kosten- und Entschädigungsfolgen wurden zu Lasten des Gesuchs- gegners geregelt (Urk. 8 = Urk. 11). b) Hiergegen erhob der Gesuchsgegner am 9. August 2022 (Postaufga- be) fristgerecht (vgl. Urk. 9b: Zustellung am 4. August 2022) Beschwerde und stellte wohl sinngemäss den Beschwerdeantrag (Urk. 10): Das angefochtene Urteil sei aufzuheben und es sei keine Rechtsöffnung zu erteilen.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die Gesuchstellerin stütze sich auf ein Urteil des Schweizerischen Bundesgerichts vom 26. August 2021, mit wel- chem die Gerichtskosten von Fr. 1'500.-- dem Gesuchsgegner auferlegt worden seien. Dieses Urteil sei auch ohne Rechtskraftbescheinigung vollstreckbar und stelle einen definitiven Rechtsöffnungstitel dar. Der Gesuchsgegner habe sich nicht vernehmen lassen und aus den Akten würden keine Gründe hervorgehen, welche der Rechtsöffnung entgegenstehen würden. Die Forderung sei durch den Rechtsöffnungstitel ausgewiesen (Urk. 11 S. 2). c) Der Gesuchsgegner macht in seiner Beschwerde vorab geltend, dass das angefochtene Urteil nicht von der Richterin unterzeichnet worden sei, sondern nur von einer Gerichtsschreiberin mit unlesbarem Namen (Urk. 10 S. 1). Gemäss § 136 GOG werden im summarischen Verfahren Endentscheide in der Sache von einem Mitglied des Gerichts oder von der Gerichtsschreiberin oder dem Gerichtsschreiber unterzeichnet. Die Unterzeichnung des angefochtenen Endentscheids im summarischen Verfahren "nur" durch die mitwirkende Gerichts- schreiberin ist daher nicht zu beanstanden. Deren Name ergibt sich ohne weiteres aus dem Rubrum (Urk. 11 S. 1 oben). d) Im Übrigen enthält die Beschwerde des Gesuchsgegners lediglich Aus- führungen, die keinen ersichtlichen Zusammenhang mit dem vorinstanzlichen Verfahren haben und ohnehin allesamt neue (im vorinstanzlichen Verfahren nicht vorgetragene) und damit im Beschwerdeverfahren unzulässige Tatsachenbe- hauptungen darstellen (Art. 326 ZPO; oben Erwägung 2.a). Die Vorbringen enhal- ten sodann insbesondere keine Beanstandungen der vorinstanzlichen Erwägun- gen. Darauf ist nicht weiter einzugehen. e) Nach dem Gesagten erweist sich die Beschwerde als offensichtlich un- begründet. Sie ist demgemäss abzuweisen.</w:t>
      </w:r>
    </w:p>
    <w:p>
      <w:r>
        <w:rPr>
          <w:b/>
        </w:rPr>
        <w:t>E. 3</w:t>
      </w:r>
    </w:p>
    <w:p>
      <w:r>
        <w:t>a) Für das Beschwerdeverfahren beträgt der Streitwert Fr. 1'500.--. Die zweitinstanzliche Entscheidgebühr ist in Anwendung von Art. 48 i.V.m. Art. 61 Abs. 1 GebV SchKG auf Fr. 300.-- festzusetzen.</w:t>
      </w:r>
    </w:p>
    <w:p>
      <w:r>
        <w:t>- 4 -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