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RT220120 vom 15. Juli 2022</w:t>
      </w:r>
    </w:p>
    <w:p>
      <w:r>
        <w:t>ZH Obergericht, 2022-07-15, DE</w:t>
      </w:r>
    </w:p>
    <w:p>
      <w:r>
        <w:rPr>
          <w:b/>
        </w:rPr>
        <w:t xml:space="preserve">Quelle: </w:t>
      </w:r>
      <w:r>
        <w:t>https://mcp.opencaselaw.ch/entscheid/zh_obergericht_RT220120</w:t>
      </w:r>
    </w:p>
    <w:p>
      <w:r>
        <w:t>FR: ZH_OBERGERICHT RT220120 du 15 juillet 2022</w:t>
      </w:r>
    </w:p>
    <w:p>
      <w:r>
        <w:t>IT: ZH_OBERGERICHT RT220120 del 15 luglio 2022</w:t>
      </w:r>
    </w:p>
    <w:p>
      <w:pPr>
        <w:pStyle w:val="Heading2"/>
      </w:pPr>
      <w:r>
        <w:t>Erwägungen</w:t>
      </w:r>
    </w:p>
    <w:p>
      <w:r>
        <w:rPr>
          <w:b/>
        </w:rPr>
        <w:t>E. 1</w:t>
      </w:r>
    </w:p>
    <w:p>
      <w:r>
        <w:t>a) Mit Urteil vom 29. Juni 2022 erteilte das Bezirksgericht Winterthur (Vorinstanz) den Gesuchstellern in der Betreibung Nr. … des Betreibungsamts Oberwinterthur (Zahlungsbefehl vom 14. April 2022) – für Staats- und Gemeinde- steuern 2020 – definitive Rechtsöffnung für Fr. 2'725.30 nebst 4.5% Zins seit 14. April 2022, Fr. 48.05 (aufgelaufener Zins bis 13. April 2022) und für Kosten und Entschädigung gemäss diesem Urteil (Urk. 11 = Urk. 14). b) Hiergegen erhob der Gesuchsgegner am 7. Juli 2022 fristgerecht (vgl. Urk. 12: Zustellung am 6. Juli 2022) Beschwerde. Der Beschwerdeschrift lassen sich die sinngemässen Beschwerdeanträge entnehmen (Urk. 13): Das angefochtene Urteil sei aufzuheben und das Rechtsöffnungsgesuch sei abzuweisen. Die Kosten der Urteile vom 29. Juni 2022 seien komplett zu erlassen. Dem verschuldeten Gesuchsgegner sei Hilfe zukommen zu lassen. c) Die vorinstanzlichen Akten wurden beigezogen. Da sich die Beschwer- de sogleich als unbegründet bzw. unzulässig erweist, kann auf weitere Prozess- handlungen verzichtet werden (vgl. Art. 322 Abs. 1 ZPO).</w:t>
      </w:r>
    </w:p>
    <w:p>
      <w:r>
        <w:rPr>
          <w:b/>
        </w:rPr>
        <w:t>E. 2</w:t>
      </w:r>
    </w:p>
    <w:p>
      <w:r>
        <w:t>Der Gesuchsgegner macht in seiner Beschwerde geltend, er würde Hil- fe benötigen, habe aber bisher weder von der Stadt Winterthur noch vom Kanton Hilfe erhalten (Urk. 13). Das Obergericht ist Rechtsmittelinstanz und als solche zuständig zur Behandlung der vorliegenden Beschwerde, kann bzw. darf aber Parteien keine Beratung oder, wie hier, Hilfe zur Schuldensanierung anbieten.</w:t>
      </w:r>
    </w:p>
    <w:p>
      <w:r>
        <w:rPr>
          <w:b/>
        </w:rPr>
        <w:t>E. 3</w:t>
      </w:r>
    </w:p>
    <w:p>
      <w:r>
        <w:t>a) Mit einer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rechtsge-</w:t>
      </w:r>
    </w:p>
    <w:p>
      <w:r>
        <w:t>- 3 - nügend beanstandet wird, braucht von der Beschwerdeinstanz nicht überprüft zu werden und hat insofern grundsätzlich Bestand. Sodann sind im Beschwerdever- fahren neue Anträge, neue Tatsachenbehauptungen und neue Beweismittel aus- geschlossen (Art. 326 Abs. 1 ZPO); was im erstinstanzlichen Verfahren nicht (rechtzeitig) vorgetragen wurde, kann im Beschwerdeverfahren grundsätzlich nicht mehr geltend gemacht bzw. nachgeholt werden. b) Die Vorinstanz erwog im Wesentlichen, die Gesuchsteller würden sich auf den Einschätzungsentscheid des Steueramts der Stadt Winterthur vom 22. Oktober 2021 für Staats- und Gemeindesteuern 2020 sowie auf die entspre- chende Schlussrechnung vom gleichen Tag stützen. Diese seien rechtskräftig und würden damit einen definitiven Rechtsöffnungstitel darstellen. Die betriebene For- derung sei ausgewiesen und bei Einleitung der Betreibung fällig gewesen. Der Gesuchsgegner wende ein, seine über einen privaten Schuldensanierer bezahlten Raten seien bei der Berechnung des Forderungsbetrages nicht berücksichtigt worden, zudem habe er keinerlei finanzielle Mittel zur Begleichung der Schuld; er wisse nicht weiter und erhalte von niemandem Hilfe bei seinen finanziellen Prob- lemen. Der Einwand der Tilgung der Schuld scheitere daran, dass mit einer Zah- lung an den privaten Schuldensanierer keine Zahlung an die Gesuchsteller be- hauptet sei; ausserdem habe der Gesuchsgegner die behaupteten Zahlungen nicht belegt. Die Einwendung der fehlenden finanziellen Mittel sei im Rechtsöff- nungsverfahren unbeachtlich; es werde bei der Fortsetzung der Betreibung vom Betreibungsamt zu klären sein, zu welchen Zahlungen der Gesuchsgegner in der Lage sei. Im Übrigen sei der Gesuchsgegner für die von ihm angesprochene Hilfe an die Schuldenberatung des Kantons Zürich zu verweisen; auch dieses Vorbrin- gen stehe der Rechtsöffnung nicht entgegen. Diese sei daher zu erteilen (Urk. 14 S. 3-4). c) Der Gesuchsgegner macht in seiner Beschwerde wörtlich das Gleiche geltend, was er schon in seiner vorinstanzlichen Stellungnahme vom 20. Juni 2022 vorgebracht hatte (vgl. Urk. 13 und Urk. 9). Mit diesen Vorbringen hat sich bereits die Vorinstanz nachvollziehbar auseinandergesetzt (vgl. oben Erwäg. 3.b). Jene Erwägungen werden nicht konkret beanstandet, womit es bei ihnen bleibt.</w:t>
      </w:r>
    </w:p>
    <w:p>
      <w:r>
        <w:t>- 4 - Es ist auch hier (nochmals) darauf hinzuweisen, dass im Rechtsöffnungsverfah- ren nicht geprüft werden kann, ob und inwieweit ein Schuldner die betriebene Schuld auch tatsächlich bezahlen kann; ob dies der Fall ist, wird erst im Rahmen des Pfändungsvollzugs vom Betreibungsamt zu prüfen sein (Art. 92 und 93 SchKG; z.B. ist dem Schuldner das Existenzminimum zu belassen). Neu ist einerseits das Vorbringen, dass laut Abrechnung des privaten Schuldensanierers vom 21. September 2021 beim Steueramt Winterthur eine Restschuld von Fr. 3'363.85 bestehe und weder die Schlussrechnung für das Steuerjahr 2019 noch diejenige für das Steuerjahr 2020 in irgendeiner Form die geforderten Steuerschulden aufzeigen würden (Urk. 13 S. 1). Die Behauptung ei- ner Restschuld von Fr. 3'363.85 hat der Gesuchsgegner im vorinstanzlichen Ver- fahren nicht erhoben (vgl. Urk. 9). Sie kann damit als neues Vorbringen im Be- schwerdeverfahren nicht berücksichtigt werden (Art. 326 ZPO; oben Erwägung 3.a). Ohnehin bleibt offen, für welche Steuerjahre diese Restschuld bestehen soll; die Aufstellung des privaten Schuldensanierers (Urk. 15/2) würde zudem keinen genügenden Beleg für eine Tilgung (Zahlung) darstellen. Ebenfalls neu ist sodann das Vorbringen bzw. die Bitte, die Kosten des an- gefochtenen Entscheids zu erlassen (Urk. 13 S. 2). Die Auferlegung dieser Kos- ten an den Gesuchsgegner als unterlegene Partei entspricht jedoch dem Gesetz (Art. 106 Abs. 1 ZPO). Für ein Abweichen davon wird kein Grund geltend ge- macht. Im Rechtsmittelverfahren kann ein Gesuch um unentgeltliche Rechtspfle- ge für das vorinstanzliche Verfahren nicht mehr gestellt werden (vgl. Art. 119 Abs. 1 ZPO). Hätte der Gesuchsgegner im vorinstanzlichen Verfahren ein solches gestellt, wäre es wohl wegen Aussichtslosigkeit abzuweisen gewesen (vgl. Art. 117 lit. b ZPO). d) Nach dem Gesagten erweist sich die Beschwerde als unbegründet. Sie ist demgemäss abzuweisen.</w:t>
      </w:r>
    </w:p>
    <w:p>
      <w:r>
        <w:rPr>
          <w:b/>
        </w:rPr>
        <w:t>E. 4</w:t>
      </w:r>
    </w:p>
    <w:p>
      <w:r>
        <w:t>a) Für das Beschwerdeverfahren beträgt der Streitwert Fr. 2'725.30. Die zweitinstanzliche Entscheidgebühr ist in Anwendung von Art. 48 i.V.m. Art. 61 Abs. 1 GebV SchKG auf Fr. 200.-- festzusetzen.</w:t>
      </w:r>
    </w:p>
    <w:p>
      <w:r>
        <w:t>- 5 - b) Die Gerichtskosten des Beschwerdeverfahrens sind ausgangsgemäss dem Gesuchsgegner aufzuerlegen (Art. 106 Abs. 1 ZPO). c) Der Gesuchsgegner hat zwar geltend gemacht, kein Geld zu haben, hat jedoch kein ausdrückliches Gesuch um unentgeltliche Rechtspflege für das Beschwerdeverfahren gestellt (Urk. 13). Ein solches wäre allerdings ohnehin ab- zuweisen gewesen, denn der Anspruch auf unentgeltliche Rechtspflege setzt ne- ben der Mittellosigkeit auch voraus, dass die Rechtsbegehren nicht aussichtslos erscheinen (Art. 117 lit. b ZPO); die Beschwerde ist jedoch als aussichtslos anzu- sehen (vgl. vorstehende Erwägungen). d) Für das Beschwerdeverfahren sind keine Parteientschädigungen zuzu- 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