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RT220118 vom 14. Juli 2022</w:t>
      </w:r>
    </w:p>
    <w:p>
      <w:r>
        <w:t>ZH Obergericht, 2022-07-14, DE</w:t>
      </w:r>
    </w:p>
    <w:p>
      <w:r>
        <w:rPr>
          <w:b/>
        </w:rPr>
        <w:t xml:space="preserve">Quelle: </w:t>
      </w:r>
      <w:r>
        <w:t>https://mcp.opencaselaw.ch/entscheid/zh_obergericht_RT220118</w:t>
      </w:r>
    </w:p>
    <w:p>
      <w:r>
        <w:t>FR: ZH_OBERGERICHT RT220118 du 14 juillet 2022</w:t>
      </w:r>
    </w:p>
    <w:p>
      <w:r>
        <w:t>IT: ZH_OBERGERICHT RT220118 del 14 luglio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Mit Urteil vom 24. März 2022 erteilte das Bezirksgericht Hinwil (Vorinstanz) den Gesuchstellern in der Betreibung Nr. … des Betreibungsamts Wetzikon (Zahlungsbefehl vom 25. November 2021) – für Staats- und Gemeinde- steuern 2019 – definitive Rechtsöffnung für Fr. 1'430.25 nebst 4.5% Zins seit 24. November 2021 sowie für Fr. 7.30 (Zinsen) und Fr. 16.65 (Zins bis 23. November 2021); die Kosten- und Entschädigungsfolgen wurden zu Lasten des Gesuchsgegners geregelt (nachträglich begründet; Urk. 12 = Urk. 15). b) Hiergegen erhob der Gesuchsgegner mit Eingabe vom 28. Juni 2022 Beschwerde (Urk. 14). c) Die vorinstanzlichen Akten wurden beigezogen. Da sich die Beschwer- de sogleich als offensichtlich unzulässig erweist, kann auf weitere Prozesshand- lungen verzichtet werden (vgl. Art. 322 Abs. 1 ZPO).</w:t>
      </w:r>
    </w:p>
    <w:p>
      <w:r>
        <w:rPr>
          <w:b/>
        </w:rPr>
        <w:t>E. 2</w:t>
      </w:r>
    </w:p>
    <w:p>
      <w:r>
        <w:t>Das angefochtene Urteil wurde dem Gesuchsgegner am 17. Juni 2022 zugestellt (Urk. 13). Die Frist zur Erhebung der Beschwerde beträgt 10 Tage (Art. 321 Abs. 2 in Verbindung mit Art. 251 lit. a ZPO), was auch von der Vor- instanz in der Rechtsmittelbelehrung (Urk. 15 S. 6) korrekt angegeben wurde. Die Frist lief demzufolge am Montag, 27. Juni 2022 ab (Art. 142 ZPO). Sie wird einge- halten durch Einreichung der Beschwerde beim Obergericht oder durch Postauf- gabe an diesem Tag (Art. 143 Abs. 1 ZPO). Die Postaufgabe der Beschwerde er- folgte am 29. Juni 2022 (Briefumschlag bei Urk. 14) und die Beschwerde ist am Folgetag beim Obergericht eingegangen (Eingangsstempel auf Urk. 14). Die Be- schwerde ist damit verspätet erhoben worden. Auf die Beschwerde kann demzu- folge nicht eingetreten werden.</w:t>
      </w:r>
    </w:p>
    <w:p>
      <w:r>
        <w:rPr>
          <w:b/>
        </w:rPr>
        <w:t>E. 3</w:t>
      </w:r>
    </w:p>
    <w:p>
      <w:r>
        <w:t>a) Für das Beschwerdeverfahren beträgt der Streitwert Fr. 1'430.25. Die zweitinstanzliche Entscheidgebühr ist in Anwendung von Art. 48 i.V.m. Art. 61 Abs. 1 GebV SchKG auf Fr. 200.-- festzusetzen.</w:t>
      </w:r>
    </w:p>
    <w:p>
      <w:r>
        <w:t>- 3 - b) Die Gerichtskosten des Beschwerdeverfahrens sind ausgangsgemäss dem Gesuchsgegner aufzuerlegen (Art. 106 Abs. 1 ZPO). c) Der Gesuchsgegner hat zwar geltend gemacht, kein Geld zu haben, hat jedoch kein ausdrückliches Gesuch um unentgeltliche Rechtspflege für das Beschwerdeverfahren gestellt (Urk. 14). Ein solches wäre allerdings ohnehin ab- zuweisen gewesen, denn der Anspruch auf unentgeltliche Rechtspflege setzt ne- ben der Mittellosigkeit auch voraus, dass die Rechtsbegehren nicht aussichtslos erscheinen (Art. 117 lit. b ZPO); die Beschwerde ist jedoch zufolge Verspätung als aussichtslos anzusehen. d) Für das Beschwerdeverfahren sind keine Parteientschädigungen zuzu- sprechen, dem Gesuchsgegner zufolge seines Unterliegens, den Gesuchstellern mangels relevanter Umtriebe (Art. 106 Abs. 1, Art. 95 Abs. 3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