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RT220104 vom 16. Juni 2022</w:t>
      </w:r>
    </w:p>
    <w:p>
      <w:r>
        <w:t>ZH Obergericht, 2022-06-16, DE</w:t>
      </w:r>
    </w:p>
    <w:p>
      <w:r>
        <w:rPr>
          <w:b/>
        </w:rPr>
        <w:t xml:space="preserve">Quelle: </w:t>
      </w:r>
      <w:r>
        <w:t>https://mcp.opencaselaw.ch/entscheid/zh_obergericht_RT220104</w:t>
      </w:r>
    </w:p>
    <w:p>
      <w:r>
        <w:t>FR: ZH_OBERGERICHT RT220104 du 16 juin 2022</w:t>
      </w:r>
    </w:p>
    <w:p>
      <w:r>
        <w:t>IT: ZH_OBERGERICHT RT220104 del 16 giugno 2022</w:t>
      </w:r>
    </w:p>
    <w:p>
      <w:pPr>
        <w:pStyle w:val="Heading2"/>
      </w:pPr>
      <w:r>
        <w:t>Erwägungen</w:t>
      </w:r>
    </w:p>
    <w:p>
      <w:r>
        <w:rPr>
          <w:b/>
        </w:rPr>
        <w:t>E. 1</w:t>
      </w:r>
    </w:p>
    <w:p>
      <w:r>
        <w:t>a) Mit Urteil vom 27. April 2022 erteilte das Bezirksgericht Hinwil (Vorinstanz) dem Gesuchsteller in der Betreibung Nr. … des Betreibungsamts Wetzikon ZH (Zahlungsbefehl vom 21. Januar 2022) – für ausstehende Gerichts- kosten – definitive Rechtsöffnung für Fr. 300.--; die Kosten- und Entschädigungs- folgen wurden zu Lasten des Gesuchsgegners geregelt (Urk. 11 = Urk. 14). b) Hiergegen erhob der Gesuchsgegner am 2. Juni 2022 fristgerecht (vgl. Urk. 12: Zustellung der nachträglich begründeten Ausfertigung am 31. Mai 2022) Beschwerde und stellte darin sinngemäss den Beschwerdeantrag (Urk. 13): Das angefochtene Urteil des Bezirksgerichts Hinwil sei aufzuheben und das Rechtsöffnungsgesuch für den Forderungsbetrag von Fr. 300.-- sei abzuwei- 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zusammengefasst, der Gesuchsteller stütze sich auf das Urteil und die Verfügung des Bezirksgerichts Hinwil vom 29. September</w:t>
      </w:r>
    </w:p>
    <w:p>
      <w:r>
        <w:t>- 3 - 2021 (EB210211-E), worin die Gerichtskosten von Fr. 300.-- dem Gesuchsgegner auferlegt worden seien. Dieser Entscheid sei rechtkräftig und stelle einen definiti- ven Rechtsöffnungstitel dar. Damit stünden dem Gesuchsgegner nur noch die Einwendungen gemäss Art. 81 SchKG (Tilgung, Stundung oder Verjährung) offen. Solche habe er jedoch nicht erhoben. Seine Einwendung, er sei ungerechtfertigt verurteilt worden, gehe im vorliegenden Verfahren fehl. Es sei daher definitive Rechtsöffnung zu erteilen (Urk. 14 S. 2 ff.). c) Der Gesuchsgegner macht in seiner Beschwerde zusammengefasst geltend, Ursache der Auseinandersetzung sei ein Vorfall in Schaffhausen. Obwohl er sich dort nichts habe zuschulden kommen lassen, sei er vom Gericht mit einem Zwangsbetrag von Fr. 1'473.30 bestraft worden. Das Obergericht Schaffhausen habe es dabei belassen. Nachdem die Polizei Schaffhausen einen Strafantrag an den Kanton Zürich gestellt habe, sei er auch vom Bezirksgericht in Zürich eben- falls mit einem Zwangsbetrag von Fr. 1'545.90 bestraft worden. Das hiesige Obergericht habe auf seine Beschwerde bis heute nicht geantwortet. Nachdem er bis heute keine Ahnung habe, was ihm zum Vorwurf gemacht werde, seien die gefällten Strafen völlig ungerecht und willkürlich (Urk. 13). d) Die Beschwerdevorbringen des Gesuchsgegners richten sich primär gegen die Forderung als solche (Gerichtskosten). Das vorliegende Verfahren auf definitive Rechtsöffnung ist nun aber ein reines Vollstreckungsverfahren. Die Prü- fung, ob die in Betreibung gesetzte Forderung zu Recht besteht oder nicht, ist im Verfahren erfolgt, welches zum Entscheid geführt hat, der nunmehr zu vollstre- cken ist. Wie die Vorinstanz korrekt dargelegt hat (Urk. 14 Erwägung 4.1), hätten Einwendungen gegen die Forderung in einem entsprechenden Rechtsmittelver- fahren gegen diesen Entscheid vorgetragen werden müssen. Im Rechtsöffnungs- verfahren darf die Forderung dagegen nicht mehr (noch einmal) überprüft werden. Demgemäss durfte die Vorinstanz die Vorbringen des Gesuchsgegners, dass die Gerichtsurteile ungerecht seien, nicht berücksichtigen. Die Vorinstanz hat hierbei das Recht korrekt angewendet. Auf welche Beschwerde (gegen welchen Entscheid) das Obergericht nicht geantwortet haben soll, bleibt völlig im Dunkeln. Auf die Eingabe des Gesuchs-</w:t>
      </w:r>
    </w:p>
    <w:p>
      <w:r>
        <w:t>- 4 - gegners an das Obergericht vom 2. Mai 2022 erfolgte jedenfalls umgehend eine Antwort, indem die Eingabe als Gesuch um Begründung an die Vorinstanz wei- tergeleitet wurde (vgl. Urk. 8). e) Nach dem Gesagten erweist sich die Beschwerde als offensichtlich un- begründet. Sie ist demgemäss abzuweisen.</w:t>
      </w:r>
    </w:p>
    <w:p>
      <w:r>
        <w:rPr>
          <w:b/>
        </w:rPr>
        <w:t>E. 3</w:t>
      </w:r>
    </w:p>
    <w:p>
      <w:r>
        <w:t>a) Für das Beschwerdeverfahren beträgt der Streitwert Fr. 300.--.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