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RT220102 vom 1. Juli 2022</w:t>
      </w:r>
    </w:p>
    <w:p>
      <w:r>
        <w:t>ZH Obergericht, 2022-07-01, DE</w:t>
      </w:r>
    </w:p>
    <w:p>
      <w:r>
        <w:rPr>
          <w:b/>
        </w:rPr>
        <w:t xml:space="preserve">Quelle: </w:t>
      </w:r>
      <w:r>
        <w:t>https://mcp.opencaselaw.ch/entscheid/zh_obergericht_RT220102</w:t>
      </w:r>
    </w:p>
    <w:p>
      <w:r>
        <w:t>FR: ZH_OBERGERICHT RT220102 du 1 juillet 2022</w:t>
      </w:r>
    </w:p>
    <w:p>
      <w:r>
        <w:t>IT: ZH_OBERGERICHT RT220102 del 1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5. Mai 2022 reichte die Gesuchstellerin beim Bezirksgericht Meilen in der Betreibung Nr. … des Betreibungsamts Küsnacht-Zollikon-Zumikon ein Rechtsöffnungsgesuch für Fr. 34'838.60 nebst Zins und Kosten ein (Vi-Urk. 1). Auf Fristansetzung zur Einreichung einer Stellungnahme zum Rechtsöffnungsge- such (Vi-Urk. 5) stellte der Gesuchsgegner am 18. Mai 2022 diverse prozessuale Anträge, u.a. auf Sistierung des Verfahrens, bis über seine am gleichen Gericht hängige negative Feststellungsklage über dieselbe Forderung rechtskräftig ent- schieden sei (Vi-Urk. 7). Daraufhin sistierte die Vorinstanz mit Verfügung vom 23. Mai 2022 das Verfahren bis zur rechtskräftigen Erledigung des Verfahrens mit der Geschäfts-Nr. FO220001 (Vi-Urk. 9 = Urk. 2). b) Hiergegen erhob die Gesuchstellerin am 1. Juni 2022 (Postaufgabe) fristgerecht Beschwerde und stellte die Beschwerdeanträge (Urk. 1 S. 2): "1. Die Verfügung vom 23.05.2022 des Bezirksgericht[s] Meilen vom 23. Mai 2022 sei aufzuheben.</w:t>
      </w:r>
    </w:p>
    <w:p>
      <w:r>
        <w:rPr>
          <w:b/>
        </w:rPr>
        <w:t>E. 2</w:t>
      </w:r>
    </w:p>
    <w:p>
      <w:r>
        <w:t>a) Die vorinstanzliche Sistierungsverfügung kann mit Beschwerde angefochten werden (Art. 126 Abs. 2 ZPO). Mit der Beschwerde können unrichti- ge Rechtsanwendung und offensichtlich unrichtige Feststellung des Sachverhalts geltend gemacht werden (Art. 320 ZPO). Dabei bedeutet Geltendmachung, dass in der Beschwerde dargelegt werden muss, was genau am angefochtenen Ent- scheid unrichtig sein soll. Das Beschwerdeverfahren ist nicht einfach eine Fort-</w:t>
      </w:r>
    </w:p>
    <w:p>
      <w:r>
        <w:t>- 3 - setzung des erstinstanzlichen Verfahrens, sondern es dient der Überprüfung des angefochtenen Entscheids im Lichte von konkret dagegen vorgebrachten Bean- standungen. Was nicht rechtsgenügend beanstandet wird, braucht von der Be- schwerdeinstanz nicht überprüft zu werden und hat insofern grundsätzlich Be- stand. Sodann sind im Beschwerdeverfahren neue Anträge, neue Tatsachenbe- hauptungen und neue Beweismittel ausgeschlossen (Art. 326 Abs. 1 ZPO); was im erstinstanzlichen Verfahren nicht (rechtzeitig) vorgetragen wurde, kann im Be- schwerdeverfahren grundsätzlich nicht mehr geltend gemacht bzw. nachgeholt werden. b) Die Vorinstanz erwog zusammengefasst, der Gesuchsgegner habe zu Recht geltend gemacht, dass vor dem Einzelgericht im ordentlichen Verfahren ei- ne negative Feststellungsklage (FO220001) hängig sei, welche den Bestand der vorliegend streitbetroffenen, in Betreibung gesetzten Forderung zum Gegenstand habe. Das vorliegende Rechtsöffnungsverfahren sei vom Ausgang des Feststel- lungsverfahrens naturgemäss abhängig, weshalb es sich rechtfertige, das Rechtsöffnungsverfahren bis zum rechtskräftigen Abschluss des Feststellungsver- fahrens zu sistieren (Urk. 2 S. 2). c) Die Gesuchstellerin macht in ihrer Beschwerde im Wesentlichen gel- tend, die negative Feststellungsklage sei eine materiellrechtliche Klage; das Urteil in jenem Verfahren entfalte materielle Rechtskraft. Das Rechtsöffnungsverfahren sei dagegen ein reines Vollstreckungsverfahren bzw. ein rein betreibungsrechtli- ches Verfahren; geurteilt werde nicht über den materiellrechtlichen Bestand der Forderung, sondern einzig darüber, ob die Betreibung aufgrund des Vorliegens eines genügenden Rechtsöffnungstitels fortgesetzt werden könne. Bei der negati- ven Feststellungsklage und im Rechtsöffnungsverfahren würden damit nicht die gleichen Fragen zur Diskussion stehen. Gleich wie das Ergebnis des Rechtsöff- nungsverfahrens keine Rechtkraft für den Forderungsprozess schaffe, hindere die Hängigkeit einer negativen Feststellungsklage die Weiterführung eines Rechtsöff- nungsverfahrens nicht (Urk. 1 S. 2 f.). d) Der Gesuchsgegner hat sich, wie erwähnt (oben Erw. 1.c), im Be- schwerdeverfahren nicht vernehmen lassen.</w:t>
      </w:r>
    </w:p>
    <w:p>
      <w:r>
        <w:t>- 4 - e) Ein Verfahren kann sistiert werden, wenn die Zweckmässigkeit dies verlangt und namentlich, wenn der Entscheid vom Ausgang eines anderen Ver- fahrens abhängt (Art. 126 Abs. 1 ZPO). Die Vorinstanz begründet die Sistierung mit der Abhängigkeit des Rechtsöffnungsentscheids vom Ausgang des hängigen Feststellungsverfahrens FO220001 über die gleiche Forderung. Die Gesuchstelle- rin beanstandet dies zu Recht. Das Rechtsöffnungsverfahren ist ein rein betrei- bungsrechtliches Vollstreckungsverfahren; in diesem Verfahren wird einzig ent- schieden, ob ein genügender Rechtsöffnungstitel vorliege, um damit die Betrei- bung fortsetzen zu können. Über den materiellrechtlichen Bestand der betriebe- nen Forderung wird dagegen nicht entschieden. Umgekehrt wird in einem Zivil- prozess ein materiellrechtlicher Entscheid über den Bestand der Forderung ge- fällt, dagegen ist in jenem Verfahren das Vorliegen eines Rechtsöffnungstitels nicht zu prüfen. Der Entscheid im vorliegenden Rechtsöffnungsverfahren ist daher grundsätzlich nicht vom Entscheid im Verfahren betreffend Feststellung der For- derung abhängig. Dass bei Gutheissung der Feststellungsklage die Betreibung aufgehoben oder eingestellt wird (Art. 85a Abs. 3 SchKG), ändert nichts daran, dass geprüft werden kann, ob ein genügender Rechtsöffnungstitel vorliegt, d.h. dass bis zu einem anderslautenden Entscheid das Rechtsöffnungsverfahren fort- gesetzt werden kann. Das Rechtsöffnungsverfahren wäre nur dann nicht fortzu- setzen, wenn im Verfahren der negativen Feststellungsklage die Betreibung vor- läufig eingestellt würde (Art. 85a Abs. 2 SchKG). Dass solches nur schon drohen würde, wird nicht geltend gemacht. Im Übrigen ist eine Sistierung des Rechtsöff- nungsverfahrens ohnehin nur in den seltensten Fällen zulässig (OGer ZH RT140129-O vom 03.10.2014, E. 2.2; BSK SchKG I-Staehelin, Art. 84 N 63; vgl. ferner auch BGer 5A_311/2012 vom 15. Mai 2013, E. 3.2). f) Nach dem Gesagten erweist sich die Beschwerde der Gesuchstellerin hinsichtlich Dispositiv-Ziffer 1 der angefochtenen Verfügung als begründet. Dem- gemäss ist Dispositiv-Ziffer 1 der angefochtenen Verfügung aufzuheben und der Antrag auf Sistierung des Verfahrens abzuweisen (Art. 327 Abs. 3 lit. b ZPO). Das vorinstanzliche Rechtsöffnungsverfahren ist fortzusetzen.</w:t>
      </w:r>
    </w:p>
    <w:p>
      <w:r>
        <w:t>- 5 -</w:t>
      </w:r>
    </w:p>
    <w:p>
      <w:r>
        <w:rPr>
          <w:b/>
        </w:rPr>
        <w:t>E. 3</w:t>
      </w:r>
    </w:p>
    <w:p>
      <w:r>
        <w:t>Dispositiv-Ziffer 2 der angefochtenen Verfügung (einstweilige Abnahme der Frist zur Stellungnahme) stellt eine prozessleitende Verfügung dar. Gegen ei- ne solche ist die Beschwerde (nur) dann zulässig, wenn durch sie ein nicht leicht wiedergutzumachender Nachteil droht (Art. 319 lit. b Ziff. 2 ZPO). Ein solcher Nachteil ist in der Beschwerde geltend zu machen, d.h. zu behaupten und nach- zuweisen, soweit er nicht offensichtlich ist (BK ZPO II-Sterchi, Art. 321 N 17, Art. 319 N 15). In der Beschwerdeschrift findet sich hierzu jedoch kein Wort. Ein nicht leicht wiedergutzumachender Nachteil ist auch nicht geradezu offensichtlich. Diesbezüglich kann daher auf die Beschwerde nicht eingetreten werden.</w:t>
      </w:r>
    </w:p>
    <w:p>
      <w:r>
        <w:rPr>
          <w:b/>
        </w:rPr>
        <w:t>E. 4</w:t>
      </w:r>
    </w:p>
    <w:p>
      <w:r>
        <w:t>a) Der Streitwert für das Beschwerdeverfahren beträgt Fr. 34'838.60. Die zweitinstanzliche Entscheidgebühr ist in Anwendung von Art. 48 i.V.m. Art. 61 Abs. 1 GebV SchKG auf Fr. 250.-- festzusetzen. b) Der Gesuchsgegner hat sich zwar im Beschwerdeverfahren nicht ver- nehmen lassen, hat aber im vorinstanzlichen Verfahren das nun abgewiesene Sistierungsgesuch gestellt. Er ist daher diesbezüglich als unterliegend anzuse- hen. Das Nichteintreten auf die Fristabnahme fällt demgegenüber nicht ins Ge- wicht. Die Gerichtskosten des Beschwerdeverfahrens sind daher ausgangsge- mäss dem Gesuchsgegner aufzuerlegen (Art. 106 Abs. 1 ZPO). c) Für das Beschwerdeverfahren sind keine Parteientschädigungen zuzu- sprechen: Die nicht anwaltlich vertretene Gesuchstellerin begründet ihren dahin- gehenden Antrag mit keinem Wort und legt insbesondere nicht dar, inwiefern ein begründeter Fall im Sinne von Art. 95 Abs. 3 lit. c ZPO vorliegen sollte (vgl. BGer 5A_132/2020 vom 28. April 2020, E. 4.2.1). Der Gesuchsgegner, der im Rechts- mittelverfahren unterliegt und im Übrigen auch keinen entsprechenden Antrag ge- stellt hat, hat ohnehin keinen Anspruch auf Parteientschädigung (Art. 106 Abs. 1 ZPO; BGE 139 III 334 E. 4.3).</w:t>
      </w:r>
    </w:p>
    <w:p>
      <w:r>
        <w:t>- 6 -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