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RT220096 vom 24. Mai 2022</w:t>
      </w:r>
    </w:p>
    <w:p>
      <w:r>
        <w:t>ZH Obergericht, 2022-05-24, DE</w:t>
      </w:r>
    </w:p>
    <w:p>
      <w:r>
        <w:rPr>
          <w:b/>
        </w:rPr>
        <w:t xml:space="preserve">Quelle: </w:t>
      </w:r>
      <w:r>
        <w:t>https://mcp.opencaselaw.ch/entscheid/zh_obergericht_RT220096</w:t>
      </w:r>
    </w:p>
    <w:p>
      <w:r>
        <w:t>FR: ZH_OBERGERICHT RT220096 du 24 mai 2022</w:t>
      </w:r>
    </w:p>
    <w:p>
      <w:r>
        <w:t>IT: ZH_OBERGERICHT RT220096 del 24 maggio 2022</w:t>
      </w:r>
    </w:p>
    <w:p>
      <w:pPr>
        <w:pStyle w:val="Heading2"/>
      </w:pPr>
      <w:r>
        <w:t>Erwägungen</w:t>
      </w:r>
    </w:p>
    <w:p>
      <w:r>
        <w:rPr>
          <w:b/>
        </w:rPr>
        <w:t>E. 1</w:t>
      </w:r>
    </w:p>
    <w:p>
      <w:r>
        <w:t>a) Die Parteien stehen vor Erstinstanz in einem Rechtsöffnungsverfahren. Mit Verfügung vom 28. April 2022 wurde dem Gesuchsteller und Beschwerde- gegner (fortan Gesuchsteller) eine Frist von vierzehn Tagen angesetzt, um für die mutmassliche Entscheidgebühr bei der Bezirksgerichtskasse Uster in Anwendung von Art. 98 ZPO einen Kostenvorschuss von Fr. 100.– zu leisten (Urk. 2). b) Mit Eingabe vom 20. Mai 2022 (am 21. Mai 2022 der Post übergeben) er- hob der Gesuchsgegner und Beschwerdeführer (fortan Gesuchsgegner) gegen obgenannte Verfügung Beschwerde (Urk. 1). c) Die Eingabe des Gesuchsgegners enthält entgegen den Vorgaben von Art. 130 Abs. 1 ZPO keine eigenhändige Unterschrift (Urk. 1 S. 16). Aufgrund des Verfahrensausgangs und weil keine Zweifel bestehen, dass sie tatsächlich vom Gesuchsgegner verfasst und eingereicht wurde, ist jedoch aus prozessökonomi- schen Gründen von einer Fristansetzung zur Verbesserung gemäss Art. 132 Abs. 1 ZPO abzusehen.</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Der Gesuchsgegner wurde durch die angefochtene Verfügung zu nichts verpflichtet, da nicht er, sondern der Gesuchsteller den Kostenvorschuss von Fr. 100.– zu leisten hat. Ihm ist deshalb durch die angefochtene Verfügung kein Nachteil entstanden. Auf die Beschwerde des Gesuchsgegners ist demnach mangels Beschwer nicht einzutreten.</w:t>
      </w:r>
    </w:p>
    <w:p>
      <w:r>
        <w:t>- 3 -</w:t>
      </w:r>
    </w:p>
    <w:p>
      <w:r>
        <w:rPr>
          <w:b/>
        </w:rPr>
        <w:t>E. 3</w:t>
      </w:r>
    </w:p>
    <w:p>
      <w:r>
        <w:t>Die zweitinstanzliche Spruchgebühr ist ausgangsgemäss dem Gesuchs- gegner aufzuerlegen (Art. 106 Abs. 1 ZPO) und gestützt auf Art. 48 i.V.m. Art. 61 Abs. 1 GebV SchKG auf Fr. 75.– festzusetzen. Dem Gesuchsgegner ist zufolge seines Unterliegens (Art. 106 Abs. 1 ZPO) und dem Gesuchsteller mangels we- sentlicher Umtriebe (Art. 95 Abs. 3 ZPO) für das Beschwerdeverfahren keine 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