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RT220092 vom 22. September 2022</w:t>
      </w:r>
    </w:p>
    <w:p>
      <w:r>
        <w:t>ZH Obergericht, 2022-09-22, DE</w:t>
      </w:r>
    </w:p>
    <w:p>
      <w:r>
        <w:rPr>
          <w:b/>
        </w:rPr>
        <w:t xml:space="preserve">Quelle: </w:t>
      </w:r>
      <w:r>
        <w:t>https://mcp.opencaselaw.ch/entscheid/zh_obergericht_RT220092</w:t>
      </w:r>
    </w:p>
    <w:p>
      <w:r>
        <w:t>FR: ZH_OBERGERICHT RT220092 du 22 septembre 2022</w:t>
      </w:r>
    </w:p>
    <w:p>
      <w:r>
        <w:t>IT: ZH_OBERGERICHT RT220092 del 22 settembre 2022</w:t>
      </w:r>
    </w:p>
    <w:p>
      <w:pPr>
        <w:pStyle w:val="Heading2"/>
      </w:pPr>
      <w:r>
        <w:t>Erwägungen</w:t>
      </w:r>
    </w:p>
    <w:p>
      <w:r>
        <w:rPr>
          <w:b/>
        </w:rPr>
        <w:t>E. 1</w:t>
      </w:r>
    </w:p>
    <w:p>
      <w:r>
        <w:t>Mit Verfügung und Urteil vom 4. Mai 2022 erteilte die Vorinstanz der Gesuchstellerin und Beschwerdegegnerin (fortan Gesuchstellerin) die definitive Rechtsöffnung für den Betrag von Fr. 137'653.24 (entsprechend USD 152'592.–) nebst Zins zu 5% seit 30. April 2021, für die Betreibungskosten und für Kosten und Entschädigung gemäss Ziffer 3 bis 5 des Entscheides (Urk. 23 S. 22 = Urk. 26 S. 22). Die Gesuchstellerin stützt ihr Rechtsöffnungsbegehren auf die "..." des Bezirksgerichts Laconia (USA) vom 11. März 2018 (Urk. 1 S. 2). Darin wurde der Gesuchsgegner und Beschwerdeführer (fortan Gesuchsgegner) verpflichtet, der Gesuchstellerin ab dem 5. Februar 2018 monatliche Kinderunterhaltsbeiträge von USD 1'664.– und monatliche Ehegattenunterhaltsbeiträge von USD 1'600.– sowie bis dahin aufgelaufene Unterhaltsbeiträge von USD 13'312.– und USD 12'800.– zu bezahlen (Urk. 4/5 S. 1 f.).</w:t>
      </w:r>
    </w:p>
    <w:p>
      <w:r>
        <w:rPr>
          <w:b/>
        </w:rPr>
        <w:t>E. 1.1</w:t>
      </w:r>
    </w:p>
    <w:p>
      <w:r>
        <w:t>Die Vorinstanz erwog, der Gesuchsgegner habe keine Einreden ge- mäss Art. 81 SchKG – Stundung, Tilgung, Verjährung – geltend gemacht (Urk. 26 S. 20).</w:t>
      </w:r>
    </w:p>
    <w:p>
      <w:r>
        <w:rPr>
          <w:b/>
        </w:rPr>
        <w:t>E. 1.2</w:t>
      </w:r>
    </w:p>
    <w:p>
      <w:r>
        <w:t>Der Gesuchsgegner rügt, er habe bewiesen, dass die Unterhaltsbeiträ- ge gestundet worden seien, weil die Trennungsvereinbarung vom 8. Oktober 2014 dies vorsehe. Er habe damit eine Einwendung im Sinne von Art. 81 Abs. 1 SchKG geltend gemacht, welche die Vorinstanz übersehen habe (Urk. 25 S. 7). In der Vereinbarung finde sich die Klausel, dass die Parteien während der Geltungs- dauer dieser Vereinbarung weder für sich noch für das Kind C._____ Unterhalts- leistungen voneinander beanspruchen würden. Diese Vereinbarung gelte noch immer und auch für das Kind D._____ (Urk. 25 S. 10). Die Gesuchstellerin habe die Stundung nicht bestritten, womit von deren Bestehen auszugehen sei (Urk. 25 S. 11).</w:t>
      </w:r>
    </w:p>
    <w:p>
      <w:r>
        <w:rPr>
          <w:b/>
        </w:rPr>
        <w:t>E. 1.3</w:t>
      </w:r>
    </w:p>
    <w:p>
      <w:r>
        <w:t>Die Gesuchstellerin erwidert, der Gesuchsgegner mache als unzuläs- siges Novum geltend, bei der Vereinbarung aus dem Jahre 2014 habe es sich um eine Stundungsvereinbarung gehandelt. Es handle sich zudem offensichtlich nicht um eine Stundungsvereinbarung, da darin keine Unterhaltsleistungen vereinbart worden seien. Eine Vereinbarung aus dem Jahr 2014 hätte zudem keine Rele- vanz für die in einem danach ergangenen Scheidungsurteil festgesetzten Unter- haltsbeiträge. Sachverhalte aus der Zeit vor Erlass des Urteils könnten nicht be- rücksichtigt werden, da dies eine unzulässige inhaltliche Überprüfung des Urteils wäre (Urk. 35 S. 2).</w:t>
      </w:r>
    </w:p>
    <w:p>
      <w:r>
        <w:t>- 5 -</w:t>
      </w:r>
    </w:p>
    <w:p>
      <w:r>
        <w:rPr>
          <w:b/>
        </w:rPr>
        <w:t>E. 1.4</w:t>
      </w:r>
    </w:p>
    <w:p>
      <w:r>
        <w:t>Stundung bedeutet Hinausschieben der Fälligkeit einer Schuld (Kren Kostkiewicz, OFK-SchKG, SchKG 81 N 19). Voraussetzung einer Stundung ist mithin eine bestehende Schuld. Der Gesuchsgegner brachte im vorinstanzlichen Verfahren gerade nicht vor, dass eine Schuld vorliege, deren Fälligkeit einver- nehmlich hinausgeschoben worden sei, sondern machte im Gegenteil geltend, dass aufgrund der Vereinbarung vom 8. Oktober 2014 kein Anspruch auf Unter- halt bestehe (Urk. 11 S. 5, S. 16). Die Behauptung, dass die Unterhaltsbeiträge gestundet worden seien, stellt damit ein unzulässiges und nicht zu berücksichti- gendes Novum dar. Zudem ist gemäss klarem Wortlaut von Art. 81 Abs. 1 SchKG die Rechtsöffnung ohnehin nur zu verweigern, wenn der Schuldner nachweist, dass die Stundung seit Erlass des Entscheids erfolgt ist. Dies ist vorliegend nicht der Fall, da die Trennungsvereinbarung mehrere Jahre vor Erlass der "..." vom 11. März 2018 getroffen wurde. Die Rügen des Gesuchsgegners erweisen sich daher als unbegründet. 2. Fehlen einer Vollstreckungsbescheinigung</w:t>
      </w:r>
    </w:p>
    <w:p>
      <w:r>
        <w:rPr>
          <w:b/>
        </w:rPr>
        <w:t>E. 2</w:t>
      </w:r>
    </w:p>
    <w:p>
      <w:r>
        <w:t>Gegen die Verfügung und das Urteil vom 4. Mai 2022 erhob der Ge- suchsgegner am 16. Mai 2022 fristgerecht (Urk. 24/1 und Art. 321 Abs. 1 und Abs. 2 ZPO) Beschwerde mit den folgenden Anträgen (Urk. 25 S. 3): - Der Beschwerde sei aufschiebende Wirkung zu gewähren. - Die Beschwerde sei gutzuheissen und der Entscheid des Be- zirksgerichts Meilen vom 4. Mai 2022 i.S. Rechtsöffnung (Ge- schäfts-Nr. EB210349) sei aufzuheben. - Das Betreibungsamt sei anzuweisen, die Betreibung Nr. 1 Dritten im Sinne von Art. 8a Abs. 1 SchKG nicht bekannt zu geben. - Alles unter Kosten- und Entschädigungsfolgen zulasten der Be- schwerdegegnerin.</w:t>
      </w:r>
    </w:p>
    <w:p>
      <w:r>
        <w:rPr>
          <w:b/>
        </w:rPr>
        <w:t>E. 2.1</w:t>
      </w:r>
    </w:p>
    <w:p>
      <w:r>
        <w:t>Die Vorinstanz erwog, gemäss Art. 4 Ziff. 5 lit. b des Abkommens zwi- schen dem Schweizerischen Bundesrat und der Regierung der Vereinigten Staa- ten von Amerika über die Durchsetzung von Unterhaltspflichten vom 31. August 2004 sei der Entscheidung eine Rechtskraft- oder Vollstreckbarkeitsbestätigung beizufügen. Über die genaue Form einer solchen Bestätigung äussere sich weder das Abkommen noch das IPRG. Es sei deshalb nicht von Bedeutung, dass sich das vorliegende Formular formell auf Art. 25 Abs. 1 lit. b der Haager Konvention über die internationale Geltendmachung der Unterhaltsansprüche von Kindern und anderen Familienangehörigen vom 23. November 2007 beziehe. Entschei- dend sei, dass es sich gemäss Titel um eine Bescheinigung der Vollstreckbarkeit der Entscheidung handle (Urk. 26 S. 7). Diese sei von E._____, Schreiberin des</w:t>
      </w:r>
    </w:p>
    <w:p>
      <w:r>
        <w:rPr>
          <w:b/>
        </w:rPr>
        <w:t>E. 2.2</w:t>
      </w:r>
    </w:p>
    <w:p>
      <w:r>
        <w:t>Der Gesuchsgegner rügt, es sei lediglich eine angebliche Vollstreck- barkeitsbescheinigung betreffend "a Decision" vom 11. März 2018 vorgelegt wor- den. "A Decision" gebe es aber nicht, sondern es seien am 11. März 2018 nur einzelne "orders" ergangen, von welchen nicht einmal alle Leistungs-"orders" sei- en. Diese könnten von keiner Vollstreckbarkeitsbescheinigung erfasst werden, da nur Leistungsentscheide vollstreckt werden könnten. Vollstreckbarkeitsbescheini- gungen zu den einzelnen "orders" seien nicht eingereicht worden (Urk. 25 S. 11). Zudem sei die Vollstreckbarkeitsbescheinigung nicht auf einem passenden For- mular vorgenommen worden, da sich dieses auf ein Haager Übereinkommen be- ziehe, welches die Schweiz nicht ratifiziert habe. Sie enthalte weder einen Stem- pel noch ein Briefpapier oder sonst einen Authentifikationsnachweis, welcher</w:t>
      </w:r>
    </w:p>
    <w:p>
      <w:r>
        <w:t>- 7 - deutlich machen würde, dass es sich um eine echte Vollstreckbarkeitsbescheini- gung eines US-amerikanischen Gerichts handle. Sie sei nicht einmal unterzeich- net. Die Vorinstanz habe dies zu Unrecht genügen lassen, obschon klar sei, dass in anderen Fällen der Vollstreckung ausländischer Urteile wie im Zusammenhang mit Vollstreckungen gestützt auf das Lugano-Übereinkommen sehr bestimmte An- forderungen an das zu verwendende Vollstreckungsformular gestellt würden, u.a. auch um die Authentizität zu gewährleisten. Die Vorinstanz habe sich pauschal mit dem Festhalten eines Ergebnisses begnügt, das sie nicht begründe und nicht richtig sei: "Weitere Authentizitätsnachweise und/oder ein Stempel sind nicht er- forderlich, da an der Berechtigung der ausstellenden Person/Behörde keine Zwei- fel bestehen.". Es sei erforderlich, dass wenigstens eine Unterschrift oder ein Stempel vom die Vollstreckbarkeitsbescheinigung ausstellenden Gericht ange- bracht werde. Dies seien sachlogische Gründe, die "vom Recht zu berücksichti- gen" seien. Diese hätten nichts mit dem Lugano-Übereinkommen zu tun, sondern gälten aus sachlogischen Gründen universell und würden damit eine rechtliche Voraussetzung bilden. Dass eine Beglaubigung gemäss dem Abkommen nicht notwendig sei, enthebe nicht von der Erfüllung der erforderlichen Authentizitäts- nachweise (Urk. 25 S. 12 f.). Die Vorinstanz habe diese Frage auch nicht etwa nach dem anwendbaren US-amerikanischen Recht geprüft, wozu die Gesuchstel- lerin sich hätte äussern und den Beweis erbringen müssen. Stattdessen bringe die Vorinstanz Argumente aus eigener Perspektive und Lebenserfahrung vor. In- dem die Gesuchstellerin nie einen Vollstreckungstitel vorgelegt habe, habe sie – aus Schweizer Sicht – den Beweis nicht erbracht, dass ein US- Scheidungsverfahren jemals abgeschlossen worden sei bzw. ein Gericht rechts- kräftig entschieden habe (Urk. 25 S. 14).</w:t>
      </w:r>
    </w:p>
    <w:p>
      <w:r>
        <w:rPr>
          <w:b/>
        </w:rPr>
        <w:t>E. 2.3</w:t>
      </w:r>
    </w:p>
    <w:p>
      <w:r>
        <w:t>Die Gesuchstellerin verweist auf die Erwägungen der Vorinstanz und führt aus, es ergäben sich weder aus dem Abkommen zwischen dem Schweizeri- schen Bundesrat und der Regierung der Vereinigten Staaten von Amerika über die Durchsetzung von Unterhaltspflichten von 2004 noch aus dem IPRG Vor- schriften zur Form der Vollstreckbarkeitsbestätigung. Es sei offensichtlich, dass die Unterhaltsanordnung die konkrete Umsetzung des Scheidungsurteils sei. Die Vollstreckbarkeitsbestätigung erstrecke sich damit offensichtlich auch auf die "Or-</w:t>
      </w:r>
    </w:p>
    <w:p>
      <w:r>
        <w:t>- 8 - der" bezüglich Unterhalt, auf die im Scheidungsurteil ausdrücklich verwiesen wer- de und die damit integrierender Bestandteil des Scheidungsurteils sei. Die Vor- instanz habe diesbezüglich zu Recht Urk. 4/3 Pkt. 45 und 46 zitiert (Urk. 35 S. 2).</w:t>
      </w:r>
    </w:p>
    <w:p>
      <w:r>
        <w:rPr>
          <w:b/>
        </w:rPr>
        <w:t>E. 2.4</w:t>
      </w:r>
    </w:p>
    <w:p>
      <w:r>
        <w:t>Das Abkommen zwischen dem Schweizerischen Bundesrat und der Regierung der Vereinigten Staaten von Amerika über die Durchsetzung von Un- terhaltspflichten vom 31. August 2004 (SR 0.211.213.133.6, für die Schweiz in Kraft getreten am 30. September 2004) äussert sich nicht zu den erforderlichen Formalitäten der Rechtskraft- oder Vollstreckbarkeitsbestätigung (Art. 4 Abs. 5 lit. b), sondern nur zur Form der dem Gesuch beizulegenden Entscheidung (Art. 4 Abs. 5 lit. a). Im Übrigen hält das Abkommen in Art. 4 Abs. 7 lediglich fest, dass sämtliche Unterlagen, die im Rahmen dieses Abkommens übermittelt werden, von der Beglaubigung befreit sind. Ob die Rechtskraft- oder Vollstreckbarkeitsbestäti- gung unterschrieben sein oder einen Stempel tragen muss, lässt sich dem Ab- kommen somit nicht entnehmen. Auch die Gesetzesmaterialien äussern sich nicht zu dieser Frage (BBl 2005 3323). Weil das Lugano-Übereinkommen nicht an- wendbar ist, können dessen Formvorschriften und Formulare ebenfalls nicht zur Beurteilung des vorliegenden Falles herangezogen werden. Entgegen der Auffas- sung des Gesuchsgegners existieren auch keine "universellen" Formvorschriften, welche sich aus "sachlogischen Gründen" ergeben (Urk. 25 S. 13). Jedoch kann die Frage, ob die im Recht liegende Vollstreckbarkeitsbescheinigung (Urk. 4/8) den Anforderungen genügt, offengelassen werden. Gemäss bundesgerichtlicher Rechtsprechung – deren Beizug gestützt auf Art. 7 Abs. 1 des Abkommens zwi- schen der Schweiz und den USA zulässig ist – ist das Fehlen einer formellen Rechtskraftbescheinigung nämlich unschädlich, soweit aus anderen aktenkundi- gen Dokumenten unzweifelhaft hervorgeht, dass die Entscheidung rechtskräftig geworden ist. Die Bescheinigung stellt mithin keinen Selbstzweck dar (BGE 102 Ia 7; BGer 5A_344/2012 vom 18. September 2012, E. 4.3.; BGer 5A_840/2009 vom 30. April 2009, E. 2.3.).</w:t>
      </w:r>
    </w:p>
    <w:p>
      <w:r>
        <w:rPr>
          <w:b/>
        </w:rPr>
        <w:t>E. 2.5</w:t>
      </w:r>
    </w:p>
    <w:p>
      <w:r>
        <w:t>Im vorliegenden Fall ist die "..." zweifelsfrei in Rechtskraft erwachsen und vollstreckbar. So bestätigt der Beschluss des Bezirksgerichts vom 11. März 2018 gerade im Hinblick auf das Abkommen zwischen der Schweiz und den USA zu Durchsetzungszwecken alle von diesem Gericht rechtskräftigen Beschlüsse</w:t>
      </w:r>
    </w:p>
    <w:p>
      <w:r>
        <w:t>- 9 - (Urk. 4/4 E. 1 f.). Einleitend wird im Beschluss festgehalten, dass dieser "rechts- kräftig und durchsetzbar" ist (Urk. 4/4 E. 3), und er verpflichtet den Gesuchsgeg- ner zur Leistung von Unterhaltsbeiträgen gemäss der "..." (Urk. 4/3 E. 45 f.; Urk. 4/4 E. 45 f.). Der Beschluss ist vom Richter unterzeichnet und verfügt über einen Stempel (Urk. 4/3 S. 7), womit er sämtliche vom Gesuchsgegner geforder- ten Authentizitätsnachweise erfüllt. Dass die vom Gesuchsgegner eingelegten Rechtsmittel vom 7. April und 22. Mai 2018 (Urk. 4/9; Urk. 4/12) abgewiesen wur- den, bestritt er denn auch nicht (Urk. 1 S. 3; Urk. 11). Zudem bestätigt das mit ei- ner Apostille versehene Scheidungszertifikat die Rechtskraft des Verfahrens 650- 2017-DM-00203 und nennt als Rechtskraftdatum den 25. Mai 2018 (Urk. 4/15 S. 3). Es verbleiben somit keine Zweifel, dass die "..." in Rechtskraft erwachsen und vollstreckbar ist. In diesem Sinne erübrigen sich weitere Ausführungen zur Vollstreckbarkeitsbestätigung (Urk. 4/8), und auf die entsprechenden Rügen des Gesuchsgegners braucht nicht weiter eingegangen zu werden. Wie die Vorinstanz zutreffend festgehalten hat, liegt mit der "..." ein anerkenn- und vollstreckbarer Entscheid vor. 3. Zinsen</w:t>
      </w:r>
    </w:p>
    <w:p>
      <w:r>
        <w:rPr>
          <w:b/>
        </w:rPr>
        <w:t>E. 3</w:t>
      </w:r>
    </w:p>
    <w:p>
      <w:r>
        <w:t>Mit Verfügung vom 24. Mai 2022 wurde das Gesuch um aufschiebende Wirkung abgewiesen und dem Gesuchsgegner Frist angesetzt, um den Kosten- vorschuss in Höhe von Fr. 1'500.– zu leisten (Urk. 31). Nach dessen fristgerech- tem Eingang (Urk. 33) wurde der Gesuchstellerin mit Verfügung vom 15. Juni 2022 Frist zur Beschwerdeantwort angesetzt (Urk. 34). Die Beschwerdeantwort wurde fristgerecht eingereicht (Urk. 35) und dem Gesuchsgegner mit Verfügung</w:t>
      </w:r>
    </w:p>
    <w:p>
      <w:r>
        <w:t>- 3 - vom 6. Juli 2022 zur Kenntnisnahme zugestellt (Urk. 36). Die daraufhin erfolgte Stellungnahme des Gesuchsgegners wurde der Gesuchstellerin mit Verfügung vom 10. August 2022 wiederum zur Kenntnisnahme zugestellt (Ur. 37). Weitere Eingaben erfolgten nicht.</w:t>
      </w:r>
    </w:p>
    <w:p>
      <w:r>
        <w:rPr>
          <w:b/>
        </w:rPr>
        <w:t>E. 3.1</w:t>
      </w:r>
    </w:p>
    <w:p>
      <w:r>
        <w:t>Der Gesuchsgegner rügt, die Vorinstanz habe übersehen, dass Ver- zugszinsen einer Forderung, die auf US-amerikanischem Recht zu beruhen scheine, nur zugesprochen werden dürften, wenn dies nach US-amerikanischem Recht rechtens wäre. Der Verzugszinssatz von 5% gemäss Art. 104 Abs. 1 OR finde im Zusammenhang mit einem ausländischen Urteil keine Anwendung. Die Gesuchstellerin hätte entsprechende Ausführungen zum US-amerikanischen Recht machen und dieses nachweisen müssen, da Art. 16 IPRG im Rechtsöff- nungsverfahren nicht gelte. Es sei nicht zulässig, subsidiär auf Schweizer Recht abzustellen (Urk. 25 S. 14). In der Stellungnahme zur Beschwerdeantwort ergänzt der Gesuchsgegner, es handle sich um eine Rechtsfrage, ob Zinsen geschuldet seien. Das Gericht wende das Recht von Amtes wegen an und die Vorinstanz hätte merken müssen, dass Schweizer Recht nicht anwendbar sei. Folglich hätte er diesen Punkt auch gar nicht rügen müssen. Dafür, dass die Vorinstanz diese Rechtslage auch noch übersehen habe, nachdem er in der Eingabe vom</w:t>
      </w:r>
    </w:p>
    <w:p>
      <w:r>
        <w:t>- 10 - 20. Januar 2022 darauf hingewiesen habe, könne er nicht per Kostenfolge ver- antwortlich gemacht werden. Die Beschwerdeführerin verursache ihm Kosten, da er sich dazu nun schon wiederholt habe äussern müssen. Dies werde zu einer Parteientschädigung führen müssen (Urk. 37 S. 4).</w:t>
      </w:r>
    </w:p>
    <w:p>
      <w:r>
        <w:rPr>
          <w:b/>
        </w:rPr>
        <w:t>E. 3.2</w:t>
      </w:r>
    </w:p>
    <w:p>
      <w:r>
        <w:t>Die Gesuchstellerin erklärt, der Verzugszins sei aufgrund des Wohnsit- zes des Gesuchsgegners in der Schweiz nach Schweizer Recht betrieben wor- den. Nach Prüfung der Rechts- und aktuellen Sachlage verzichte sie auf die Ver- zugszinsen. Die Bestreitung der Verzugszinsforderung sei nicht in der [Gesuchs- ]antwort erfolgt, was bei den Kostenfolgen im Beschwerdeverfahren zu berück- sichtigen sei (Urk. 35 S. 2).</w:t>
      </w:r>
    </w:p>
    <w:p>
      <w:r>
        <w:rPr>
          <w:b/>
        </w:rPr>
        <w:t>E. 3.3</w:t>
      </w:r>
    </w:p>
    <w:p>
      <w:r>
        <w:t>Zwar sind neue Anträge gemäss Art. 326 Abs. 1 ZPO im Beschwerde- verfahren grundsätzlich unzulässig. Das Novenverbot erstreckt sich indes nicht auf Sachverhalte, welche die Prozessvoraussetzungen betreffen (vgl. E. II.). Mit dem Rückzug des Rechtsöffnungsbegehrens betreffend die Zinsen entfällt das Rechtsschutzinteresse der Gesuchstellerin an diesem Teil der Forderung und das Verfahren ist diesbezüglich als gegenstandslos geworden abzuschreiben. Auf die Ausführungen der Parteien zu den Kosten- und Entschädigungsfolgen des Rück- zugs wird in E. IV.1 eingegangen.</w:t>
      </w:r>
    </w:p>
    <w:p>
      <w:r>
        <w:rPr>
          <w:b/>
        </w:rPr>
        <w:t>E. 4</w:t>
      </w:r>
    </w:p>
    <w:p>
      <w:r>
        <w:t>Betreibungskosten</w:t>
      </w:r>
    </w:p>
    <w:p>
      <w:r>
        <w:rPr>
          <w:b/>
        </w:rPr>
        <w:t>E. 4.1</w:t>
      </w:r>
    </w:p>
    <w:p>
      <w:r>
        <w:t>Die Vorinstanz erwog, gemäss Art. 68 Abs. 1 SchKG habe der Schuld- ner die Betreibungskosten zu tragen, wozu alle Kosten zählen würden, die im be- treffenden Betreibungsverfahren entstanden seien. Der Gesuchstellerin sei folg- lich praxisgemäss für die angefallenen Betreibungskosten Rechtsöffnung zu ertei- len (Urk. 26 S. 20).</w:t>
      </w:r>
    </w:p>
    <w:p>
      <w:r>
        <w:rPr>
          <w:b/>
        </w:rPr>
        <w:t>E. 4.2</w:t>
      </w:r>
    </w:p>
    <w:p>
      <w:r>
        <w:t>Der Gesuchsgegner rügt, für Betreibungskosten sei nicht Rechtsöff- nung zu erteilen, da sie nicht Gegenstand des Rechtsöffnungsentscheides bilden würden. Darauf habe selbst die Beschwerdegegnerin hingewiesen. Indem die Vo- rinstanz die Rechtsöffnung auch für die Betreibungskosten gewährt habe, habe sie das Recht unrichtig angewendet, gegen Art. 58 ZPO und gegen das Erforder- nis der Identität von Rechtsöffnungstitel und Zahlungsbefehl verstossen (Urk. 25 S. 15).</w:t>
      </w:r>
    </w:p>
    <w:p>
      <w:r>
        <w:t>- 11 -</w:t>
      </w:r>
    </w:p>
    <w:p>
      <w:r>
        <w:rPr>
          <w:b/>
        </w:rPr>
        <w:t>E. 4.3</w:t>
      </w:r>
    </w:p>
    <w:p>
      <w:r>
        <w:t>Die Gesuchstellerin erwidert, sie habe nicht Rechtsöffnung für die Be- treibungskosten beantragt. Allerdings wäre der Gläubiger auch bei einem ent- sprechenden Antrag nicht mit Kosten zu belasten, da der Rechtsvorschlag auch die Betreibungskosten umfassen würde, für welche der Schuldner nicht belangt werden könne, solange der Rechtsvorschlag nicht beseitigt werde. Lediglich auf- grund Art. 68 As. 2 SchKG sei die ausdrückliche Aufhebung des Rechtsvorschla- ges bezüglich der Betreibungskosten überflüssig (Urk. 35 S. 2 f.).</w:t>
      </w:r>
    </w:p>
    <w:p>
      <w:r>
        <w:rPr>
          <w:b/>
        </w:rPr>
        <w:t>E. 4.4</w:t>
      </w:r>
    </w:p>
    <w:p>
      <w:r>
        <w:t>Entgegen der Auffassung der Gesuchstellerin hat sie zumindest an ei- ner Stelle die Erteilung der Rechtsöffnung für die Betreibungskosten verlangt und die Kosten des Zahlungsbefehls mit Fr. 239.55 explizit aufgeführt (Urk. 1 S. 1). Ein Verstoss gegen Art. 58 ZPO bzw. ein Entscheid ultra petita liegt damit entge- gen der Auffassung des Gesuchsgegners (Urk. 25 S. 8, S. 15) gerade nicht vor, da die Vorinstanz der Gesuchstellerin zugesprochen hat, was sie verlangt hat. Auch ist in keiner Weise ersichtlich, inwiefern das Begehren um Erteilung der Rechtsöffnung für die Betreibungskosten etwas an der Identität der Hauptforde- rung im Rechtsöffnungstitel, Zahlungsbefehl und Rechtsöffnungsbegehren ändern sollte. Diese ist gegeben, wenn als Grund der Forderung derselbe Lebensvorgang angegeben wird (BSK SchKG-Staehelin, Art. 8 N 37), was für die Unterhaltsforde- rung zweifelsohne der Fall ist. Für die Betreibungskosten kann jedoch keine Rechtsöffnung erteilt werden, da hierfür kein Rechtsöffnungstitel vorliegt. Sie tei- len das Schicksal der Betreibung, weil gemäss Art. 68 Abs. 2 SchKG von den Zahlungen des Schuldners die Kosten vorab erhoben werden können, womit die- se im Ergebnis zur Schuld geschlagen werden und vom Schuldner von Gesetzes wegen zusätzlich zum Betrag, welcher dem Gläubiger zugesprochen worden ist, zu bezahlen sind (BGer 5A_455/2012 vom 5. Dezember 2012, E. 3; BSK SchKG I-Emmel, Art. 68 N 16-18). Zu den Betreibungskosten zählen auch die Spruchge- bühr und die Parteientschädigung des Rechtsöffnungsverfahrens. Der Entscheid der Vorinstanz ist diesbezüglich aufzuheben und der Gesuchstellerin weder für die Betreibungskosten noch für die Kosten- und Entschädigungsfolgen des Rechtsöffnungsverfahrens Rechtsöffnung zu erteilen.</w:t>
      </w:r>
    </w:p>
    <w:p>
      <w:r>
        <w:t>- 12 -</w:t>
      </w:r>
    </w:p>
    <w:p>
      <w:r>
        <w:rPr>
          <w:b/>
        </w:rPr>
        <w:t>E. 5</w:t>
      </w:r>
    </w:p>
    <w:p>
      <w:r>
        <w:t>Anweisung an das Betreibungsamt Der Gesuchsgegner beantragt, das Betreibungsamt sei anzuweisen, die Betreibung Nr. 1 Dritten im Sinne von Art. 8a Abs. 1 (recte wohl Abs. 3) SchKG nicht bekannt zu geben (Urk. 25 S. 3). Eine Begründung fehlt, wie bereits im vorinstanzlichen Verfahren (Urk. 11), weshalb auf den Antrag ohne Weiteres nicht einzutreten ist. Ohnehin bildet Art. 8 Abs. 3 SchKG keine gesetzliche Grund- lage, gestützt auf welche die Zivilgerichte den Betreibungsämtern Anweisungen geben könnten. Die Anwendung von Art. 8 Abs. 3 lit. a SchKG steht in der aus- schliesslichen Kompetenz der Betreibungsbehörde, die das Register führt (BGer 4A_440/2014 vom 27. November 2014, E. 4.2.). IV. Kosten- und Entschädigungsfolgen 1. Kosten- und Entschädigungsfolgen des erstinstanzlichen Verfahrens Trifft die Rechtsmittelinstanz einen neuen Entscheid, so entscheidet sie auch über die Prozesskosten des erstinstanzlichen Verfahrens (Art. 318 Abs. 3 ZPO analog; OGer ZH RT190018 vom 11.04.2019, E. II.17.). Diese sind nach Obsiegen und Unterliegen zu verteilen (Art. 106 Abs. 1 ZPO), wobei ein geringfü- giges Unterliegen oder Obsiegen im Umfang von einigen Prozenten im Rahmen der Kosten- und Entschädigungsfolgen nicht berücksichtigt wird (BGer 4A_54/2018 vom 11. Juli 2018, E. 5.1, E. 5.4.; CHK-Sutter-Somm/Seiler ZPO 106 N 9). Die Vorinstanz setzte die Spruchgebühr auf Fr. 1'000.– fest, auferlegte sie dem Gesuchsgegner und sprach der Gesuchstellerin eine Parteientschädigung von Fr. 200.– zu (Urk. 26 S. 22). Die Höhe der Entscheidgebühr wurde von keiner Partei beanstandet und erweist sich als angemessen. Das vorinstanzliche Urteil ist im Hauptpunkt vollumfänglich zu bestätigen und lediglich bezüglich der Zinsen und der Betreibungskosten aufzuheben bzw. als gegenstandslos abzuschreiben. Nachdem Zinsen bei der Streitwertberechnung, welche für die Frage des Obsie- gens in vermögensrechtlichen Angelegenheiten wesentlich ist, nicht berücksichtigt werden (Art. 91 Abs.1 ZPO), die Zinsen und Betreibungskosten ohnehin einen vernachlässigbaren Teil der Forderung darstellen und auch der Klärung der damit zusammenhängenden Fragen prozessual geringe Bedeutung zukam, ist die erst-</w:t>
      </w:r>
    </w:p>
    <w:p>
      <w:r>
        <w:t>- 13 - instanzliche Regelung der Kosten- und Entschädigungsfolgen trotz teilweiser Auf- hebung des Urteils zu bestätigen. 2. Kosten- und Entschädigungsfolgen des Beschwerdeverfahrens Die Kosten des Beschwerdeverfahrens werden nach Massgabe des Obsiegens bzw. Unterliegens verteilt (Art. 106 Abs. 1 ZPO). Die Entscheidgebühr ist in Anwendung von Art. 48 i.V.m. Art. 61 Abs. 1 GebV SchKG auf Fr. 1'500.– festzusetzen und infolge seines nahezu vollständigen Unterliegens (vgl. E. IV.1.) dem Gesuchsgegner aufzuerlegen. Die Entscheidgebühr ist mit dem Kostenvor- schuss des Gesuchsgegners von Fr. 1'500.– (Urk. 31 und Urk. 33) zu verrechnen. Nachdem der Gesuchsgegner mehrheitlich unterliegt und die Gesuchstellerin für das Beschwerdeverfahren keine Parteientschädigung verlangt (Urk. 35 S. 2), sind keine Parteientschädigungen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