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RT220086 vom 16. Mai 2022</w:t>
      </w:r>
    </w:p>
    <w:p>
      <w:r>
        <w:t>ZH Obergericht, 2022-05-16, DE</w:t>
      </w:r>
    </w:p>
    <w:p>
      <w:r>
        <w:rPr>
          <w:b/>
        </w:rPr>
        <w:t xml:space="preserve">Quelle: </w:t>
      </w:r>
      <w:r>
        <w:t>https://mcp.opencaselaw.ch/entscheid/zh_obergericht_RT220086</w:t>
      </w:r>
    </w:p>
    <w:p>
      <w:r>
        <w:t>FR: ZH_OBERGERICHT RT220086 du 16 mai 2022</w:t>
      </w:r>
    </w:p>
    <w:p>
      <w:r>
        <w:t>IT: ZH_OBERGERICHT RT220086 del 16 maggio 2022</w:t>
      </w:r>
    </w:p>
    <w:p>
      <w:pPr>
        <w:pStyle w:val="Heading2"/>
      </w:pPr>
      <w:r>
        <w:t>Erwägungen</w:t>
      </w:r>
    </w:p>
    <w:p>
      <w:r>
        <w:rPr>
          <w:b/>
        </w:rPr>
        <w:t>E. 1</w:t>
      </w:r>
    </w:p>
    <w:p>
      <w:r>
        <w:t>a) Mit Urteil vom 14. April 2022 wies das Bezirksgericht Zürich (Vor- instanz) das Rechtsöffnungsgesuch – für Fr. 1'266.35 nebst Zins, Fr. 18.90 Identi- fikationskosten, Fr. 541.-- Verzugsschaden und Betreibungskosten – in der Be- treibung Nr. 1 des Betreibungsamts Zürich 1 (Zahlungsbefehl vom 13. Oktober 2021) ab; die Kosten wurden der Gesuchstellerin auferlegt (Urk. 5 = Urk. 8). b) Gegen dieses ihr am 27. April 2022 zugestellte (Urk. 6a) Urteil erhob die Gesuchstellerin am 4. Mai 2022 fristgerecht Beschwerde und stellte den fol- genden Beschwerdeantrag (Urk. 7 S. 2): "Aufgrund der [...] Erläuterungen bitten wir Sie höflich, das Urteil vom 14.04.2022 des Bezirksgerichts Zürich zu revidieren und den Rechtsvor- schlag in der Betreibung Nr. 1 unter Kosten- und Entschädigungsfolge zu Lasten des Beklagten aufzuheben. Wir stellen hiermit den Antrag die Be- schwerde gutzuheissen."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w:t>
      </w:r>
    </w:p>
    <w:p>
      <w:r>
        <w:t>- 3 - b) Die Vorinstanz erwog im Wesentlichen, die Gesuchstellerin habe zwar ihre Forderung aus einer Ratenvereinbarung vom 30. August 2020 abgeleitet, je- doch im Rechtsöffnungsgesuch nicht dargelegt, wie sie ausgehend von dieser Ratenvereinbarung über eine Forderung von Fr. 4'871.90 auf den betriebenen Be- trag komme. Das eingereichte Dossierblatt werde nicht kommentiert und erkläre sich auch nicht von selbst. Das Rechtsöffnungsgesuch sei somit mangels hinrei- chender Begründung abzuweisen (Urk. 8 Erwägung 2). Zudem sei die Ratenver- einbarung vom 30. August 2020 auch unleserlich unterzeichnet. Die Gesuchstel- lerin tue nicht dar, von wem die Urkunde unterzeichnet worden und dass diese Person einzelzeichnungsberechtigt gewesen sei. Damit stehe nicht fest, dass die Ratenvereinbarung rechtsgültig unterzeichnet worden sei und damit als provisori- scher Rechtsöffnungstitel in Frage komme. Das Rechtsöffnungsgesuch sei somit auch mangels eines Rechtsöffnungstitels abzuweisen (Urk. 8 Erwägung 3). c) Die Gesuchstellerin macht in ihrer Beschwerde zusammengefasst gel- tend, sie habe den geforderten Betrag in Abschnitt 1 des Rechtsöffnungsgesuchs klar definiert. Die von der Beklagten geleisteten Zahlungen seien übersichtlich aufgeführt gewesen (Urk. 7 S. 1). Die Ratenvereinbarung führe sodann die Ge- suchsgegnerin als Schuldnerin deutlich auf und sei rechtsgültig unterzeichnet worden. Die Unterschrift habe von ihr (der Gesuchstellerin) nicht überprüft werden müssen. Verträge könnten generell auch mit einem Handschlag Gültigkeit erlan- gen; trotz fehlender Unterschrift seien diese gültig. Die Beklagte habe sodann an- fänglich die Zahlungen gemäss der Ratenvereinbarung geleistet; schon dies allein deute auf ein Eingeständnis der Schuld hin (Urk. 7 S. 2). d) Wie bereits die Vorinstanz korrekt dargelegt hat (Urk. 8 Erwägung 3.1), kann provisorische Rechtsöffnung erteilt werden, wenn die betriebene Forderung auf einer durch Unterschrift bekräftigten Schuldanerkennung beruht. Bei Unter- zeichnung durch einen Vertreter ist dessen Vertretungsmacht urkundlich zu bele- gen. Bei juristischen Personen (wie hier der Gesuchsgegnerin) muss sich die Ver- tretungsmacht aus der Zeichnungsbefugnis gemäss Handelsregister ableiten las- sen. Fehlt es an einem urkundlichen Nachweis der Vollmacht zur Unterzeichnung der Schuldanerkennung, so besteht kein genügender Rechtsöffnungstitel. Für das</w:t>
      </w:r>
    </w:p>
    <w:p>
      <w:r>
        <w:t>- 4 - Vorliegen eines Rechtsöffnungstitels ist sodann irrelevant, dass Verträge vorbe- hältlich besonderer Bestimmungen formlos gültig sind (Art. 11 ff. OR), denn ein provisorischer Rechtsöffnungstitel bedarf zwingend der Unterschrift des Schuld- ners (oder der öffentlichen Beurkundung; Art. 82 Abs. 1 SchKG). Die vorinstanzliche Erwägung, dass die Unterschrift auf der Ratenvereinbarung vom 30. August 2020 unleserlich sei, ist offensichtlich korrekt (vgl. Urk. 3/1). Dass die Gesuchsgegnerin als Schuldnerin aufgeführt ist, ändert nichts daran, dass völlig unklar ist, wer die Ratenvereinbarung für sie unterzeichnet hat, und damit auch völlig unklar bleibt, ob dies eine gemäss Handelsregister einzelzeichnungsberechtigte Person ist. Auch hierbei liegt weder eine unrichtige (geschweige denn eine offensichtlich un- richtige) Sachverhaltsfeststellung noch eine richte Rechtsanwendung der Vo- rinstanz vor. Damit bleibt es auch beim vorinstanzlichen Schluss, dass mangels urkundlichen Nachweises der Zeichnungsberechtigung keine genügende Schuld- anerkennung vorliegt. Bei dieser Sachlage – das Rechtsöffnungsgesuch war schon mangels Vorliegen eines Rechtsöffnungstitels abzuweisen – braucht auf die Vorbringen betreffend ungenügende Begründung des Rechtsöffnungsgesuchs nicht eingegangen zu werden. e) Nach dem Gesagten erweist sich die Beschwerde als offensichtlich un- begründet. Sie ist demgemäss abzuweisen. f) Die Abweisung des Rechtsöffnungsgesuchs bedeutet nicht, dass die Forderung nicht besteht, sondern lediglich, dass die Gesuchstellerin ihre Forde- rung auf dem ordentlichen Prozessweg wird durchsetzen müssen. Auch dies hat bereits die Vorinstanz dargelegt (Urk. 8 Erwägung 4).</w:t>
      </w:r>
    </w:p>
    <w:p>
      <w:r>
        <w:rPr>
          <w:b/>
        </w:rPr>
        <w:t>E. 3</w:t>
      </w:r>
    </w:p>
    <w:p>
      <w:r>
        <w:t>a) Für das Beschwerdeverfahren beträgt der Streitwert Fr. 1'826.25. Die zweitinstanzliche Entscheidgebühr ist in Anwendung von Art. 48 i.V.m. Art. 61 Abs. 1 GebV SchKG auf Fr. 300.-- festzusetzen. b) Die Gerichtskosten des Beschwerdeverfahrens sind ausgangsgemäss der Gesuchstellerin aufzuerlegen (Art. 106 Abs. 1 ZPO).</w:t>
      </w:r>
    </w:p>
    <w:p>
      <w:r>
        <w:t>- 5 - c) Für das Beschwerdeverfahren sind keine Parteientschädigungen zuzu- sprechen, der Gesuchstellerin zufolge ihres Unterliegens,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