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RT220068 vom 4. April 2022</w:t>
      </w:r>
    </w:p>
    <w:p>
      <w:r>
        <w:t>ZH Obergericht, 2022-04-04, DE</w:t>
      </w:r>
    </w:p>
    <w:p>
      <w:r>
        <w:rPr>
          <w:b/>
        </w:rPr>
        <w:t xml:space="preserve">Quelle: </w:t>
      </w:r>
      <w:r>
        <w:t>https://mcp.opencaselaw.ch/entscheid/zh_obergericht_RT220068</w:t>
      </w:r>
    </w:p>
    <w:p>
      <w:r>
        <w:t>FR: ZH_OBERGERICHT RT220068 du 4 avril 2022</w:t>
      </w:r>
    </w:p>
    <w:p>
      <w:r>
        <w:t>IT: ZH_OBERGERICHT RT220068 del 4 aprile 2022</w:t>
      </w:r>
    </w:p>
    <w:p>
      <w:pPr>
        <w:pStyle w:val="Heading2"/>
      </w:pPr>
      <w:r>
        <w:t>Erwägungen</w:t>
      </w:r>
    </w:p>
    <w:p>
      <w:r>
        <w:rPr>
          <w:b/>
        </w:rPr>
        <w:t>E. 2</w:t>
      </w:r>
    </w:p>
    <w:p>
      <w:r>
        <w:t>Die Beschwer ist Zulässigkeitsvoraussetzung jedes Rechtsmittels. Das Er- 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w:t>
      </w:r>
    </w:p>
    <w:p>
      <w:r>
        <w:t>- 3 - (Reetz, in: Sutter-Somm/Hasenböhler/Leuenberger, ZPO Komm., Vorbemerkun- gen zu den Art. 308-318 N 30 m.w.H.).</w:t>
      </w:r>
    </w:p>
    <w:p>
      <w:r>
        <w:rPr>
          <w:b/>
        </w:rPr>
        <w:t>E. 3</w:t>
      </w:r>
    </w:p>
    <w:p>
      <w:r>
        <w:t>Der Gesuchsgegner wurde durch die angefochtene Verfügung zu nichts verpflichtet. Ihm ist deshalb durch diese Verfügung kein Nachteil entstanden. Auf seine Beschwerde ist demnach mangels Beschwer nicht einzutreten. Bei diesem Ausgang des Verfahrens erübrigt sich eine Auseinandersetzung mit dem Antrag des Gesuchsgegners, es sei eine mündliche Beschwerdeverhandlung durchzu- führen.</w:t>
      </w:r>
    </w:p>
    <w:p>
      <w:r>
        <w:rPr>
          <w:b/>
        </w:rPr>
        <w:t>E. 4</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für das zweitinstanzliche Verfahren nicht gewährt werden kann. 5.1 Die Entscheidgebühr für das Beschwerdeverfahren ist in Anwendung von Art. 48 i.V.m. Art. 61 Abs. 1 GebV SchKG sowie unter Berücksichtigung des we- gen der Parallelverfahren RT220057-O, RT220058-O, RT220059-O und RT220060-O reduzierten Aufwands auf Fr. 100.– festzusetzen. Die Gerichtskos- ten sind ausgangsgemäss dem Gesuchsgegner aufzuerlegen (Art. 106 Abs. 1 ZPO). 5.2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