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RT220067 vom 9. Mai 2022</w:t>
      </w:r>
    </w:p>
    <w:p>
      <w:r>
        <w:t>ZH Obergericht, 2022-05-09, DE</w:t>
      </w:r>
    </w:p>
    <w:p>
      <w:r>
        <w:rPr>
          <w:b/>
        </w:rPr>
        <w:t xml:space="preserve">Quelle: </w:t>
      </w:r>
      <w:r>
        <w:t>https://mcp.opencaselaw.ch/entscheid/zh_obergericht_RT220067</w:t>
      </w:r>
    </w:p>
    <w:p>
      <w:r>
        <w:t>FR: ZH_OBERGERICHT RT220067 du 9 mai 2022</w:t>
      </w:r>
    </w:p>
    <w:p>
      <w:r>
        <w:t>IT: ZH_OBERGERICHT RT220067 del 9 maggio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Nachdem der Gerichtskostenvorschuss innert der Nachfrist bzw. bis dato nicht geleistet wurde, ist auf die Beschwerde androhungsgemäss nicht einzutreten (Urk. 15 S. 2, Dispositiv Ziff. 1; Art. 98 in Verbindung mit Art. 101 Abs. 1 und Abs. 3 und Art. 59 Abs. 2 lit. f ZPO).</w:t>
      </w:r>
    </w:p>
    <w:p>
      <w:r>
        <w:t>- 3 - 3.1. Ausgehend von einem Streitwert von Fr. 143'531.60 ist die Entscheidgebühr für das Beschwerdeverfahren in Anwendung von Art. 48 in Verbindung mit Art. 61 Abs. 1 GebV SchKG auf Fr. 500.00 festzusetzen und ausgangsgemäss der Gesuchsgegnerin aufzuerlegen (Art. 106 Abs. 1 ZPO). 3.2. Für das Beschwerdeverfahren sind sodann keine Parteientschädigungen zuzusprechen, der Gesuchsgegnerin zufolge ihres Unterliegens (Art. 106 Abs. 1 ZPO), der Gesuchstellerin mangels erheblicher Umtriebe (Art.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