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RT220065 vom 24. Oktober 2022</w:t>
      </w:r>
    </w:p>
    <w:p>
      <w:r>
        <w:t>ZH Obergericht, 2022-10-24, DE</w:t>
      </w:r>
    </w:p>
    <w:p>
      <w:r>
        <w:rPr>
          <w:b/>
        </w:rPr>
        <w:t xml:space="preserve">Quelle: </w:t>
      </w:r>
      <w:r>
        <w:t>https://mcp.opencaselaw.ch/entscheid/zh_obergericht_RT220065</w:t>
      </w:r>
    </w:p>
    <w:p>
      <w:r>
        <w:t>FR: ZH_OBERGERICHT RT220065 du 24 octobre 2022</w:t>
      </w:r>
    </w:p>
    <w:p>
      <w:r>
        <w:t>IT: ZH_OBERGERICHT RT220065 del 24 ottobre 2022</w:t>
      </w:r>
    </w:p>
    <w:p>
      <w:pPr>
        <w:pStyle w:val="Heading2"/>
      </w:pPr>
      <w:r>
        <w:t>Erwägungen</w:t>
      </w:r>
    </w:p>
    <w:p>
      <w:r>
        <w:rPr>
          <w:b/>
        </w:rPr>
        <w:t>E. 1</w:t>
      </w:r>
    </w:p>
    <w:p>
      <w:r>
        <w:t>a) Mit Urteil und Verfügung vom 16. März 2022 erteilte die Vorinstanz der Gesuchstellerin und Beschwerdegegnerin (fortan Gesuchstellerin) in der Betrei- bung Nr. … des Betreibungsamtes Küsnacht-Zollikon-Zumikon (Zahlungsbefehl vom 23. Februar 2022) gestützt auf 19 Entscheide des Bundesstrafgerichts datie- rend vom 9. Februar 2021 (BB.2021.17-18), 18. März 2021 (BB.2021.52, 55-58),</w:t>
      </w:r>
    </w:p>
    <w:p>
      <w:r>
        <w:rPr>
          <w:b/>
        </w:rPr>
        <w:t>E. 5</w:t>
      </w:r>
    </w:p>
    <w:p>
      <w:r>
        <w:t>Eventualiter ist die Glaeubigerin Bundesstrafgericht zu verpflichten, dem Rekurrenten eine angemessene Parteientschaedigung zu be- zahlen.</w:t>
      </w:r>
    </w:p>
    <w:p>
      <w:r>
        <w:rPr>
          <w:b/>
        </w:rPr>
        <w:t>E. 6</w:t>
      </w:r>
    </w:p>
    <w:p>
      <w:r>
        <w:t>a) Der Gesuchsgegner rügt ferner, die Vorinstanz habe in Erwägung 3.1 des angefochtenen Entscheids vorsätzlich nicht zur Kenntnis genommen, dass er mehrmals beim Bundesstrafgericht schriftlich den Erlass respektive die Stundung der Forderung beantragt habe und dieses darüber noch nicht rechtskräftig ent- schieden habe. Entsprechende Dokumente und Belege habe er der Vorinstanz of- feriert. Zu den vorinstanzlichen Erwägungen 3.2 und 3.3 führt er aus, die Vorin- stanz habe ignoriert, dass er das Bundesstrafgericht bereits mehrmals schriftlich aufgefordert habe, die fälligen Forderungen zulasten seines blockierten Gutha- bens bei der B._____ und C._____ zu begleichen. Ebenso habe die Vorinstanz ignoriert, dass sämtliche Gerichtsgebühren der diversen Nebenverfahren bei ei- nem ihn betreffenden Freispruch annulliert würden. Dementsprechend sei entge- gen den Ausführungen der Vorinstanz das rechtskräftige Urteil in der Hauptsache SK.2019.12 abzuwarten. Die Vorinstanz habe auch ignoriert, dass gemäss dem nicht rechtskräftigem Urteilsdispositiv vom 23. April 2021 in der Hauptsache SK.2019.12 seine sämtlichen vom Bundesstrafgericht vorsorglich blockierten Er- sparnisse bei der C._____ und B._____ zur Bezahlung sämtlicher ausstehender Gerichtskosten inklusive der vorliegend im Streit liegenden Forderung eingezogen würden. Es könne nicht sein, dass sich das Bundesstrafgericht die Forderungen zweimal bezahlen lasse. Das Urteildispositiv in der Hauptsache SK.2019.12 habe er der Vorinstanz zugestellt. Zudem sei es öffentlich in der Sammlung des BStG zugänglich. Weitere Belege und Beweise habe er der Vorinstanz offeriert (Urk. 11 S. 4). Der Gesuchsgegner führte in seiner vorinstanzlichen Eingabe vom 14. März 2022 aus, er habe bereits am 10. Dezember 2021 und erneut am 25. Februar 2022 beim Präsidenten des Bundesstrafgerichts mit ausführlicher Begründung die einstweilige Suspendierung der Betreibungsverfahren Nr. 1, 2 und 3 vom 17. res- pektive 23. Februar 2022 durch das Betreibungsamt Küsnacht für deren nicht</w:t>
      </w:r>
    </w:p>
    <w:p>
      <w:r>
        <w:t>- 9 - rechtskräftigen Forderungen im Umfang von Fr. 3'000.–, Fr. 800.– und Fr. 25'800.– nebst Zinsen und Kosten beantragt (Urk. 6 S. 1 oben). Für einen Teil der Forderungen habe er dem Bundesstrafgericht bereits mehrmals den schriftli- chen Auftrag erteilt, die Forderungen mit seinem durch die Gläubigerin blockierten Guthaben bei der B._____ in Bern zu verrechnen. Der Rest der Forderungen ba- siere nicht auf einem rechtskräftigen Urteil. Sodann machte er geltend, er habe anfangs Dezember 2021 beim Bundesstrafgericht mit aufschiebender Wirkung den Antrag gestellt, intern für die Ausstellung des begründeten Urteils vom 23. April 2021 im Verfahren SK.2019.12 eine kurze Frist zu setzen und sämtliche gegen ihn ausgesprochenen Gerichtskosten und Ersatzforderungen zu annullie- ren, zu erlassen oder eventualiter zu stunden, bis er gegen das Urteil vom 23. Ap- ril 2021 rekurrieren könne. Ein entsprechendes Berufungs- respektive Endurteil stehe noch aus. Sämtliche ihm unter dem Strafprozess SK.2019.12 zugunsten der Bundesstrafgerichts auferlegten Kosten seien damit noch nicht rechtskräftig. Er habe das Bundesstrafgericht in den letzten zwölf Monaten mehrere Male schriftlich aufgefordert, die provisorische strafrechtliche Blockierung seines Kon- tos bei der C._____ und/oder über sein Erspartes bei der B._____ aufzuheben, so dass sämtliche fällig gestellten Forderungen umgehend mit seinem Ersparten ver- rechnet werden könnten. Aus nicht nachvollziehbaren Gründen seien sämtliche diesbezüglichen Anträge abgelehnt worden. Somit seien sämtliche Betreibungen und Rechtsöffnungsbegehren als missbräuchlich und schikanös zu werten (Urk. 6 S. 2). Die Vorinstanz führte im angefochtenen Entscheid hierzu aus, der Gesuchs- gegner bringe vor, das Bundesstrafgericht habe am 23. April 2021 in der Haupt- sache SK.2019.12 das Urteilsdispositiv erlassen. Dort sei gemäss den Ausfüh- rungen des Gesuchsgegners angeordnet worden, dass sein vom Bundesstrafge- richt blockiertes Erspartes zur Deckung der Verfahrenskosten verwendet werden könne. Der begründete Entscheid stehe noch aus. Gegen dieses Urteil wolle er rekurrieren. Welchen Einwand der Gesuchsgegner damit auch immer erheben wolle – so die Vorinstanz –, sei nicht ersichtlich, da er seine Ausführungen durch kein einziges Dokument belegt habe. Sie seien ohnehin unbeachtlich. Zudem füh- re der Gesuchsgegner aus, er habe das Bundesstrafgericht schon mehrere Male</w:t>
      </w:r>
    </w:p>
    <w:p>
      <w:r>
        <w:t>- 10 - aufgefordert, die strafrechtlich blockierten Konten mit den gestellten Forderungen zu verrechnen, was aus nicht nachvollziehbaren Gründen abgelehnt worden sei. Auch diese Behauptung werde durch keine Unterlagen untermauert, weshalb sie nicht zu hören sei. Unter diesen Umständen erübrigten sich Ausführungen dazu, ob eine Verrechnung unter Berücksichtigung von Art. 125 Ziff. 3 OR überhaupt zulässig wäre. Damit zielten alle Einwendungen des Gesuchsgegners ins Leere (Urk. 12 S. 4 E. 3.3). b) Wie von der Vorinstanz zu Recht ausgeführt, geht aus der Eingabe des Gesuchsgegners vom 14. März 2022 nicht hervor, wie das von ihm erwähnte Ver- fahren SK.2019.12 mit dem vorliegenden Rechtsöffnungsverfahren in Verbindung steht. Auch die Beschwerdeeingabe des Gesuchsgegners ist diesbezüglich nicht aufschlussreich. Der Gesuchsgegner hat vorinstanzlich sodann weder zum Ver- fahren SK.2019.12 noch zu den von ihm vorgebrachten Gesuchen um Erlass, Stundung oder Verrechnung der im Betreibungsverfahren Nr. … geltend gemach- ten Forderung Urkunden eingereicht (vgl. Urk. 1-10/2). Entgegen seiner Vorbrin- gen im Beschwerdeverfahren hat er dazu auch keine entsprechenden Belege und Beweise offeriert (vgl. Urk. 6). Auf die Vorbringen des Gesuchsgegners in der Be- schwerdeschrift zum Verfahren SK.2019.12 und zur Verrechnung der vorliegend im Streit liegenden Forderung ist deshalb im Beschwerdeverfahren nicht weiter einzugehen.</w:t>
      </w:r>
    </w:p>
    <w:p>
      <w:r>
        <w:rPr>
          <w:b/>
        </w:rPr>
        <w:t>E. 7</w:t>
      </w:r>
    </w:p>
    <w:p>
      <w:r>
        <w:t>Der Gesuchsgegner rügt im Beschwerdeverfahren ferner, die Vorinstanz habe ignoriert, dass ein Teil der Forderung bereits von der D._____ AG gemäss beiliegender Urkunde bezahlt worden sei (Urk. 11 S. 4). Bei dem erstmals im Be- schwerdeverfahren eingereichten Zahlungsbeleg über Fr. 200.– (Urk. 13/1) han- delt es sich jedoch um ein Beweismittel, welches aufgrund von Art. 326 Abs. 1 ZPO im Beschwerdeverfahren nicht mehr berücksichtigt werden kann.</w:t>
      </w:r>
    </w:p>
    <w:p>
      <w:r>
        <w:rPr>
          <w:b/>
        </w:rPr>
        <w:t>E. 8</w:t>
      </w:r>
    </w:p>
    <w:p>
      <w:r>
        <w:t>a) Zu der vom Gesuchsgegner erstinstanzlich beantragten Gewährung der unentgeltlichen Prozessführung führt dieser im Beschwerdeverfahren aus, die Vorinstanz habe seine aktuellen unterzeichneten Steuerklärungen samt Anlagen und Beilagen, welche Urkunden darstellten, ignoriert. Ausserdem habe er der Vor- instanz weitere sachdienliche Dokumente und Bestätigungen offeriert. Was die</w:t>
      </w:r>
    </w:p>
    <w:p>
      <w:r>
        <w:t>- 11 - Vorinstanz mit Unterlagen, welche den Untergang der Forderung nachweisen könnten, gemeint habe, bleibe völlig im Dunkeln (Urk. 11 S. 4). Die Vorinstanz erwog dazu, Anspruch auf unentgeltliche Prozessführung habe, wer nicht über die erforderlichen Mittel verfüge und dessen Rechtsbegeh- ren nicht als aussichtslos erscheine (unter Hinweis auf Art. 117 ZPO). Im Verfah- ren auf definitive Rechtsöffnung seien Einwendungen durch Urkunden zu bele- gen. Das einzige Beweismittel, dass der Gesuchsgegner einreiche, sei seine Steuererklärung 2021. Damit wolle er seine Mittellosigkeit belegen. Unterlagen, welche den Untergang der Forderung nachweisen könnten, fehlten gänzlich. Da- mit erweise sich sein Standpunkt als aussichtslos, was zur Abweisung des Be- gehrens um Bewilligung des Armenrechts führe (Urk. 12 S. 5 E. 5). b) Die Vorinstanz hat das Gesuch des Gesuchsgegners um Gewährung der unentgeltlichen Rechtspflege abgewiesen, da sie im Sinne von Art. 117 lit. b ZPO seinen Standpunkt als von vornherein aussichtslos betrachtete. Sie führte dazu korrekterweise aus, der Gesuchsgegner habe im Rechtsöffnungsverfahren keine Unterlagen eingereicht, welche den Untergang der Forderung der Gesuchstellerin nachweisen könnten (Urk. 12 S. 3 E. 2 und S. 5 E. 5). Da die Vorinstanz das Ge- such bereits aufgrund der Aussichtslosigkeit des Standpunktes des Gesuchsgeg- ners abwies, musste sie nicht prüfen, ob er im Sinne von Art. 117 lit. a ZPO mittel- los ist.</w:t>
      </w:r>
    </w:p>
    <w:p>
      <w:r>
        <w:rPr>
          <w:b/>
        </w:rPr>
        <w:t>E. 9</w:t>
      </w:r>
    </w:p>
    <w:p>
      <w:r>
        <w:t>Schliesslich bringt der Gesuchsgegner in der Beschwerdeschrift vor, die Vorinstanz habe ignoriert, dass bei ihr seit dem 26. Februar 2022 betreffend die Forderung des Bundesstrafgerichts auch eine negative Feststellungsklage pen- dent sei und er aus prozessökonomischen Überlegungen die Zusammenlegung der Verfahren beantragt habe (Urk. 11 S. 4). Entgegen diesen Vorbringen hat sich die Vorinstanz diesbezüglich unter Hinweis auf Art. 125 lit. c ZPO dahingehend geäussert, dass durch die Vereini- gung keine Vereinfachung des Verfahrens erzielt werden könne, da das erstin- stanzliche Rechtsöffnungsverfahren mit dem angefochtenen Entscheid vom 16. März 2022 erledigt werde, weshalb der Antrag um Vereinigung abzuweisen</w:t>
      </w:r>
    </w:p>
    <w:p>
      <w:r>
        <w:t>- 12 - sei (Urk. 12 S. 6 E. 6). Die Vorinstanz hat sich somit mit dem Antrag des Ge- suchsgegners inhaltlich auseinandergesetzt, weshalb eine Verletzung des rechtli- chen Gehörs des Gesuchsgegners wiederum zu verneinen ist.</w:t>
      </w:r>
    </w:p>
    <w:p>
      <w:r>
        <w:rPr>
          <w:b/>
        </w:rPr>
        <w:t>E. 10</w:t>
      </w:r>
    </w:p>
    <w:p>
      <w:r>
        <w:t>Im Übrigen setzt sich der Gesuchsgegner mit den vorinstanzlichen Er- wägungen des angefochtenen Entscheids nicht auseinander. Damit erweist sich die Beschwerde als offensichtlich unbegründet. Es kann daher davon abgesehen werden, Beschwerdeantworten der Gesuchstellerin und des Beschwerdegegners einzuholen (Art. 322 ZPO). Die Beschwerde ist abzuweisen.</w:t>
      </w:r>
    </w:p>
    <w:p>
      <w:r>
        <w:rPr>
          <w:b/>
        </w:rPr>
        <w:t>E. 11</w:t>
      </w:r>
    </w:p>
    <w:p>
      <w:r>
        <w:t>Der Gesuchsgegner stellt für das Beschwerdeverfahren ein Gesuch um Gewährung der unentgeltlichen Rechtspflege (Urk. 11 S. 3 Antrag 1). Ein Anspruch auf unentgeltliche Rechtspflege setzt – wie bereits erwähnt – neben der Mittellosigkeit auch voraus, dass das Rechtsbegehren nicht aussichts- los erscheint (Art. 117 lit. b ZPO). Das Beschwerdeverfahren war jedoch wie vor- stehend aufgezeigt von vornherein als aussichtslos anzusehen, weshalb das Ge- such um Gewährung der unentgeltlichen Rechtspflege für das Beschwerdeverfah- ren abzuweisen ist.</w:t>
      </w:r>
    </w:p>
    <w:p>
      <w:r>
        <w:rPr>
          <w:b/>
        </w:rPr>
        <w:t>E. 12</w:t>
      </w:r>
    </w:p>
    <w:p>
      <w:r>
        <w:t>Die zweitinstanzliche Spruchgebühr ist ausgangsgemäss dem Gesuchs- gegner aufzuerlegen (Art. 106 Abs. 1 ZPO) und gestützt auf Art. 48 i.V.m. Art. 61 Abs. 1 GebV SchKG auf Fr. 500.– festzusetzen. Mangels wesentlicher Umtriebe sind der Gesuchstellerin und dem Beschwerdegegner für das Beschwerdeverfah- ren keine Entschädigungen zuzusprechen (vgl. Art. 95 Abs. 3 ZPO). Der Ge- suchsgegner seinerseits hat als unterliegende Partei keinen Anspruch auf Ent- 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