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RT220059 vom 30. März 2022</w:t>
      </w:r>
    </w:p>
    <w:p>
      <w:r>
        <w:t>ZH Obergericht, 2022-03-30, DE</w:t>
      </w:r>
    </w:p>
    <w:p>
      <w:r>
        <w:rPr>
          <w:b/>
        </w:rPr>
        <w:t xml:space="preserve">Quelle: </w:t>
      </w:r>
      <w:r>
        <w:t>https://mcp.opencaselaw.ch/entscheid/zh_obergericht_RT220059</w:t>
      </w:r>
    </w:p>
    <w:p>
      <w:r>
        <w:t>FR: ZH_OBERGERICHT RT220059 du 30 mars 2022</w:t>
      </w:r>
    </w:p>
    <w:p>
      <w:r>
        <w:t>IT: ZH_OBERGERICHT RT220059 del 30 marzo 2022</w:t>
      </w:r>
    </w:p>
    <w:p>
      <w:pPr>
        <w:pStyle w:val="Heading2"/>
      </w:pPr>
      <w:r>
        <w:t>Erwägungen</w:t>
      </w:r>
    </w:p>
    <w:p>
      <w:r>
        <w:rPr>
          <w:b/>
        </w:rPr>
        <w:t>E. 2</w:t>
      </w:r>
    </w:p>
    <w:p>
      <w:r>
        <w:t>Die Vorinstanz erwog, die eingereichte Bussenverfügung vom 28. Mai 2019 sei vollstreckbar und stelle einen definitiven Rechtsöffnungstitel im Sinne von Art. 80 Abs. 2 Ziff. 2 SchKG dar (Urk. 11 S. 3). Der Gesuchsgegner mache weder geltend, dass die Schuld getilgt noch gestundet noch verjährt sei. Seine Einwen- dungen (schwere ökonomische Situation, psychologische Probleme, Fehlein- schätzung und falsche Berechnung der Ordnungsbusse) stünden der Rechtsöff- nung nicht entgegen, zumal es dem Rechtsöffnungsgericht als Vollstreckungsge-</w:t>
      </w:r>
    </w:p>
    <w:p>
      <w:r>
        <w:t>- 3 - richt untersagt sei, rechtskräftige Verfügungen einer inhaltlichen Überprüfung zu unterziehen (Urk. 11 S. 3 f.). Da der Gesuchgegner keine Gründe vorgebracht habe, welche der Rechtsöffnung entgegenstehen würden, und die Forderung ausgewiesen sei, sei antragsgemäss Rechtsöffnung zu erteilen (Urk. 11 S. 4). 3.1 Der Gesuchsgegner beantragt sinngemäss, dass eine mündliche Beschwer- deverhandlung durchgeführt werde. Gemäss Art. 327 Abs. 2 ZPO kann die Rechtsmittelinstanz im Beschwerdeverfahren aufgrund der Akten entscheiden. Hierbei handelt es sich um die Regel. Bei Zweckmässigkeit ist es möglich, eine mündliche Parteiverhandlung durchzuführen (Botschaft ZPO, 7379). Als Grund wird vom Gesuchsgegner einzig genannt, dass ihm zurzeit die finanziellen Mittel fehlen würden, um Beilagen, Schriften und Beweismittel einzureichen. Da neue Anträge, neue Tatsachenbehauptungen und neue Beweismittel im Beschwerde- verfahren ohnehin ausgeschlossen sind (vgl. Art. 326 Abs. 1 ZPO), ist die Zweckmässigkeit einer mündlichen Verhandlung nicht dargelegt. Das Verfahren kann daher rein schriftlich geführt werden. 3.2 Der Gesuchsgegner macht geltend, dass er noch weitere Gerichtsverfahren habe und überfordert sei, fristgerecht eine Beschwerdeschrift einzureichen. Eine Beschwerde ist innert der Beschwerdefrist (vollständig) begründet einzureichen (vgl. Art. 321 Abs. 1 und 2 ZPO); die Erstreckung gesetzlicher Fristen ist ausge- schlossen (Art. 144 Abs. 1 ZPO). Selbst wenn die Ausführungen des Gesuchs- gegners als Fristerstreckungsgesuch berücksichtigt würden, wäre dieses abzu- weisen. 3.3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w:t>
      </w:r>
    </w:p>
    <w:p>
      <w:r>
        <w:t>- 4 - 5D_146/2017 vom 17. November 2017, E. 3.3.2; BGer 5A_387/2016 vom 7. Sep- tember 2016, E. 3.1; BGer 5A_206/2016 vom 1. Juni 2016, E. 4.2; BGer 5A_488/2015 vom 21. August 2015, E. 3.2, je mit Hinweis auf BGE 138 III 374 E. 4.3.1).</w:t>
      </w:r>
    </w:p>
    <w:p>
      <w:r>
        <w:rPr>
          <w:b/>
        </w:rPr>
        <w:t>E. 4</w:t>
      </w:r>
    </w:p>
    <w:p>
      <w:r>
        <w:t>Die Beschwerdeschrift des Gesuchsgegners genügt den obgenannten for- mellen Anforderungen nicht. Soweit verständlich, macht er im Wesentlichen gel- tend, dass die damalige Fehleinschätzung und die Busse ungerechtfertigt seien (Urk. 10). Bei diesen Vorbringen handelt es sich um dieselben Einwendungen, welche er bereits vor Vorinstanz vorgebracht hatte (vgl. Urk. 6) und mit welchen sich die Vorinstanz bereits in ihrem Entscheid auseinandersetzte. Mit seinen Wie- derholungen vermag der Gesuchsgegner nicht aufzuzeigen, an welchem Mangel der vorinstanzliche Entscheid leide. Er ist an dieser Stelle aber noch einmal da- rauf hinzuweisen, dass es nicht dem Rechtsöffnungsrichter obliegt, einen rechts- kräftigen Entscheid einer inhaltlichen Überprüfung zu unterziehen (BSK SchKG I- Staehelin, Art. 81 N 2a). Nach dem Gesagten kommt der Gesuchsgegner seiner Begründungsobliegenheit nicht nach (vgl. oben Ziff. 3.3), weshalb auf die Be- schwerde nicht einzutreten ist.</w:t>
      </w:r>
    </w:p>
    <w:p>
      <w:r>
        <w:rPr>
          <w:b/>
        </w:rPr>
        <w:t>E. 5</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6.1 Die Entscheidgebühr für das Beschwerdeverfahren ist in Anwendung von Art. 48 i.V.m. Art. 61 Abs. 1 GebV SchKG sowie unter Berücksichtigung des we- gen der Parallelverfahren RT220057-O, RT220058-O und RT220060-O reduzier- ten Aufwands auf Fr. 100.– festzusetzen. Die Gerichtskosten sind ausgangsge- mäss dem Gesuchsgegner aufzuerlegen (Art. 106 Abs. 1 ZPO).</w:t>
      </w:r>
    </w:p>
    <w:p>
      <w:r>
        <w:t>- 5 - 6.2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