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RT220056 vom 30. März 2022</w:t>
      </w:r>
    </w:p>
    <w:p>
      <w:r>
        <w:t>ZH Obergericht, 2022-03-30, DE</w:t>
      </w:r>
    </w:p>
    <w:p>
      <w:r>
        <w:rPr>
          <w:b/>
        </w:rPr>
        <w:t xml:space="preserve">Quelle: </w:t>
      </w:r>
      <w:r>
        <w:t>https://mcp.opencaselaw.ch/entscheid/zh_obergericht_RT220056</w:t>
      </w:r>
    </w:p>
    <w:p>
      <w:r>
        <w:t>FR: ZH_OBERGERICHT RT220056 du 30 mars 2022</w:t>
      </w:r>
    </w:p>
    <w:p>
      <w:r>
        <w:t>IT: ZH_OBERGERICHT RT220056 del 30 marzo 2022</w:t>
      </w:r>
    </w:p>
    <w:p>
      <w:pPr>
        <w:pStyle w:val="Heading2"/>
      </w:pPr>
      <w:r>
        <w:t>Erwägungen</w:t>
      </w:r>
    </w:p>
    <w:p>
      <w:r>
        <w:rPr>
          <w:b/>
        </w:rPr>
        <w:t>E. 2</w:t>
      </w:r>
    </w:p>
    <w:p>
      <w:r>
        <w:t>Die Vorinstanz erwog im Wesentlichen, der Gesuchsteller verfüge mit der Veranlagungsverfügung vom 11. September 2019 und der Steuerrechnung vom 16. September 2019, welche beide rechtskräftig und vollstreckbar seien, über ei- nen gültigen definitiven Rechtsöffnungstitel im Sinne von Art. 80 Abs. 2 Ziff. 2 SchKG (Urk. 22 S. 3). Gegen einen definitiven Rechtsöffnungstitel könne nur die Einrede der Tilgung oder Stundung oder Verjährung vorgebracht werden. Mit den Einwendungen der Gesuchsgegnerin (Mittellosigkeit aufgrund von Corona und den Massnahmen des Bundes, Ungleichbehandlung durch den Kanton Zürich und den Bund) gelinge es der Gesuchsgegnerin nicht, den definitiven Rechtsöffnungs- titel zu entkräften. Die Gesuchsgegnerin führe sogar selber aus, dass ihr Erlass- und Stundungsbegehren abgelehnt worden sei. Ein weiteres entsprechendes Stundungsgesuch müsse sie direkt beim Gläubiger und nicht beim Gericht stellen. Das Gericht habe einzig das Rechtsöffnungsgesuch zu beurteilen. Mangels Ein-</w:t>
      </w:r>
    </w:p>
    <w:p>
      <w:r>
        <w:t>- 3 - wendungen sei dem Gesuchsteller antragsgemäss definitive Rechtsöffnung zu er- teilen (Urk. 22 S. 3 ff.).</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rPr>
          <w:b/>
        </w:rPr>
        <w:t>E. 4</w:t>
      </w:r>
    </w:p>
    <w:p>
      <w:r>
        <w:t>Diesen formellen Anforderungen genügt die Beschwerdeschrift der Ge- suchsgegnerin nicht. So macht sie – wie bereits vor Vorinstanz (vgl. Urk. 11) – im Wesentlichen geltend, dass aufgrund des Pandemiemanagements des Kantons Zürich und des Bundes der Umsatz ihres in der Event- und Kommunikationsbran- che tätigen Einzelunternehmens, der A._____ …, zusammengebrochen sei. Die Corona-Massnahmen seien rein willkürlich und ein Eingriff in ihr Geschäftsmodell. Sie wolle die Steuern bezahlen, habe aber nicht die nötigen finanziellen Mittel und verlange deshalb einen Erlass der Steuerschulden oder wenigstens einen Zah- lungsaufschub (Urk. 20 S. 2 ff.). Indem die Gesuchsgegnerin praktisch dieselbe Eingabe wie vor Vorinstanz noch einmal einreicht (vgl. Urk. 20 mit Urk. 11), setzt sie sich nicht mit den Erwägungen im angefochtenen Entscheid auseinander. Entgegen ihren Behauptungen in der Beschwerdeschrift ging die Vorinstanz näm- lich auf ihre Argumente ein, soweit dies nötig war. Die Gesuchsgegnerin ist an dieser Stelle erneut darauf hinzuweisen, dass es nicht dem Rechtsöffnungsrichter obliegt, ihre Zahlungsfähigkeit zu beurteilen und ihr die Schulden zu erlassen oder zu stunden. Er hat einzig das Vorliegen eines gültigen Rechtsöffnungstitels zu</w:t>
      </w:r>
    </w:p>
    <w:p>
      <w:r>
        <w:t>- 4 - prüfen (vgl. Art. 80 f. SchKG). Entsprechend war (und ist) es auch nicht nötig, dass sich das Rechtsöffnungsgericht mit ihren Ausführungen zu den Corona- Massnahmen und den Auswirkungen auf ihr Einzelunternehmen auseinander- setzt. Zusammenfassend kommt die Gesuchsgegnerin ihrer Begründungsoblie- genheit nicht nach (vgl. oben Ziff. 3), weshalb auf die Beschwerde nicht einzutre- ten ist.</w:t>
      </w:r>
    </w:p>
    <w:p>
      <w:r>
        <w:rPr>
          <w:b/>
        </w:rPr>
        <w:t>E. 5</w:t>
      </w:r>
    </w:p>
    <w:p>
      <w:r>
        <w:t>Die Gesuchsgegnerin hat für das Beschwerdeverfahren kein Gesuch um Gewährung der unentgeltlichen Rechtspflege gestellt. Gemäss Art. 117 ZPO hat eine Partei Anspruch auf unentgeltliche Rechtspflege, wenn sie nicht über die er- forderlichen Mittel verfügt und ihr Rechtsbegehren nicht aussichtslos erscheint. Die Beschwerde war indes, wie oben aufgezeigt, von vornherein aussichtslos, weshalb der Gesuchsgegnerin die unentgeltliche Rechtspflege für das zweitin- stanzliche Verfahren nicht hätte gewährt werden können. 6.1 Die Entscheidgebühr für das Beschwerdeverfahren ist in Anwendung von Art. 48 i.V.m. Art. 61 Abs. 1 GebV SchKG auf Fr. 250.– festzusetzen. Die Ge- richtskosten sind ausgangsgemäss der Gesuchsgegnerin aufzuerlegen (Art. 106 Abs. 1 ZPO). 6.2 Für das Beschwerdeverfahren sind keine Parteientschädigungen zuzuspre- 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