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RT220046 vom 21. Juli 2022</w:t>
      </w:r>
    </w:p>
    <w:p>
      <w:r>
        <w:t>ZH Obergericht, 2022-07-21, DE</w:t>
      </w:r>
    </w:p>
    <w:p>
      <w:r>
        <w:rPr>
          <w:b/>
        </w:rPr>
        <w:t xml:space="preserve">Quelle: </w:t>
      </w:r>
      <w:r>
        <w:t>https://mcp.opencaselaw.ch/entscheid/zh_obergericht_RT220046</w:t>
      </w:r>
    </w:p>
    <w:p>
      <w:r>
        <w:t>FR: ZH_OBERGERICHT RT220046 du 21 juillet 2022</w:t>
      </w:r>
    </w:p>
    <w:p>
      <w:r>
        <w:t>IT: ZH_OBERGERICHT RT220046 del 21 luglio 2022</w:t>
      </w:r>
    </w:p>
    <w:p>
      <w:pPr>
        <w:pStyle w:val="Heading2"/>
      </w:pPr>
      <w:r>
        <w:t>Erwägungen</w:t>
      </w:r>
    </w:p>
    <w:p>
      <w:r>
        <w:rPr>
          <w:b/>
        </w:rPr>
        <w:t>E. 1</w:t>
      </w:r>
    </w:p>
    <w:p>
      <w:r>
        <w:t>Mit Urteil vom 1. Februar 2022 wies die Vorinstanz das vom Gesuchsteller 1 und Beschwerdeführer 1 (fortan Gesuchsteller 1) sowie von der Gesuchstellerin 2 und Beschwerdeführerin 2 (fortan Gesuchstellerin 2) gestellte Rechtsöffnungsbe- gehren in der Betreibung Nr. … des Betreibungsamts Zürich 11, Zahlungsbefehl vom 14. Oktober 2021, für den Betrag von Fr. 3'481.85 nebst Zins zu 3 % seit dem 12. Oktober 2021, Fr. 139.25 Verzugszins verbucht, Fr. 32.85 Verzugszins nicht verbucht sowie Fr. 60.– Mahngebühr ab (Urk. 4 = Urk. 8).</w:t>
      </w:r>
    </w:p>
    <w:p>
      <w:r>
        <w:rPr>
          <w:b/>
        </w:rPr>
        <w:t>E. 2</w:t>
      </w:r>
    </w:p>
    <w:p>
      <w:r>
        <w:t>Eventualiter sei das Urteil des Bezirksgerichts Zürich vom 1. Februar 2022 in der Betreibung Nr. … des Betreibungsamtes Zürich 11 aufzu- heben und es sei die Sache zur Neubeurteilung an die Vorinstanz zu- rückzuweisen.</w:t>
      </w:r>
    </w:p>
    <w:p>
      <w:r>
        <w:rPr>
          <w:b/>
        </w:rPr>
        <w:t>E. 3</w:t>
      </w:r>
    </w:p>
    <w:p>
      <w:r>
        <w:t>Die Bezahlung der gesamten betriebenen Schuld samt Zinsen und Kosten während des Rechtsöffnungsverfahrens an das Betreibungsamt gilt als Rückzug des Rechtsvorschlags und ein bereits eingeleitetes Rechtsöffnungsverfahren fällt als gegenstandslos dahin (BSK SchKG I-Staehelin, Art. 84 N 70 m.w.H.; Stücheli, Die Rechtsöffnung, Zürich 2000, S. 97; BGer 5D_82/2012 vom 28. Juli 2012, E. 3.2). Zudem bringt dies die Betreibung zum Erlöschen (Art. 12 Abs. 2 SchKG; BGer 5A_150/2017 vom 27. November 2017, E. 2.1). Eine (Teil-)Zahlung an den Gläubiger direkt zeitigt hingegen keinen Einfluss auf das Betreibungsverfahren (BSK SchKG I-Emmel, Art. 12 N 22). Allerdings kann ein Gläubiger auf die Wei- terführung des Vollstreckungsverfahrens verzichten. Zeigt der Gläubiger dem Be- treibungsamt oder dem Rechtsöffnungsgericht die an ihn geleistete direkte Zah- lung an, ist dies als derartiger Verzicht oder als Antrag auf Aufhebung der Betrei- bung, jeweils im Umfang der Zahlung, anzusehen (vgl. BGer 7B.36/2004 vom</w:t>
      </w:r>
    </w:p>
    <w:p>
      <w:r>
        <w:t>- 5 - 29. April 2004, E. 1.3; BSK SchKG I-Emmel, Art. 12 N 22). Die Gesuchsteller be- antragen die Abschreibung des Beschwerdeverfahrens wegen Gegenstandslosig- keit (Urk. 19), was den Verzicht auf die Weiterführung des Vollstreckungsverfah- rens darstellt.</w:t>
      </w:r>
    </w:p>
    <w:p>
      <w:r>
        <w:rPr>
          <w:b/>
        </w:rPr>
        <w:t>E. 4</w:t>
      </w:r>
    </w:p>
    <w:p>
      <w:r>
        <w:t>Bei Einleitung des Rechtsöffnungsverfahren waren neben der Grundforde- rung in Höhe von Fr. 3'481.85 zuzüglich 3 % Zins seit 12. Oktober 2021, Fr. 139.25 Verzugszins verbucht sowie Fr. 32.85 Verzugszins nicht verbucht und Mahngebühren von Fr. 60.– offen (Urk. 1). Bis zum Zeitpunkt der Zahlung der Grundforderung am 2. Juni 2022 (vgl. Urk. 16/2) sind zudem Zinsen von Fr. 66.70 aufgelaufen. Mit den Zahlungen des Gesuchsgegners vom 2. Juni 2022 in der Höhe von Fr. 3'681.10 (Urk. 16/2) und jener vom 16. Juni 2022 in der Höhe von Fr. 944.85 (Urk. 20) wurde nicht nur die Forderung samt aufgelaufenen Zinsen und Mahnkosten, sondern auch die Zahlungsbefehlskosten von Fr. 73.30 (Urk. 2), die erstinstanzliche Entscheidgebühr von Fr. 240.– (Urk. 8, Dispositiv-Ziffer 2) sowie der Kostenvorschuss des vorliegenden Beschwerdeverfahrens von Fr. 450.– (Urk. 12, Dispositiv-Ziffer 1) beglichen. Damit bezahlte der Gesuchs- gegner die gesamte betriebene Schuld samt Zinsen und Kosten. Nachdem die Gesuchsteller auf die Weiterführung des Vollstreckungsverfahrens verzichteten, ist das erstinstanzliche Urteil aufzuheben und das Rechtsöffnungsbegehren auf- grund der Zahlungen des Gesuchgegners als gegenstandslos geworden abzu- schreiben. IV. 1. Nachdem das erstinstanzliche Urteil aufgehoben wird, sind auch dessen Kosten- und Entschädigungsfolgen neu zu regeln (Art. 318 Abs. 3 ZPO). Die Hö- he der erstinstanzlichen Gerichtsgebühr (Urk. 8 S. 3, Dispositiv-Ziffer 2) blieb un- angefochten. Sie entspricht auch den gesetzlichen Vorgaben (vgl. Art. 48 GebV SchKG). Wird ein Verfahren als gegenstandslos abgeschrieben und sieht das Gesetz nichts anderes vor, liegt die Verteilung der Prozesskosten im Ermessen des Gerichts (Art. 107 Abs. 1 lit. e ZPO). Dabei ist primär danach zu fragen, wer das Verfahren und dessen Gegenstandslosigkeit verursacht hat. Vorliegend hat</w:t>
      </w:r>
    </w:p>
    <w:p>
      <w:r>
        <w:t>- 6 - der Gesuchsgegner das Rechtsöffnungsverfahren durch Erhebung des Rechts- vorschlags und Nichtzahlung bis zur Einleitung des vorliegenden Rechtsöffnungs- verfahrens verursacht. Ebenso hat er durch seine Zahlung (die einer Anerken- nung der Forderung und damit der Berechtigung zur Stellung des Rechtsöff- nungsbegehrens gleich kommt) erst danach die Gegenstandslosigkeit verursacht. Entsprechend sind ihm die erstinstanzlichen Kosten aufzuerlegen. Die erstin- stanzliche Entscheidgebühr von Fr. 240.– wurde bereits durch die Gesuchsteller bezahlt (Urk. 22). Der Gesuchsgegner hat diese Kosten jedoch an die Gesuch- steller überwiesen (vgl. Erw. III.4.), weshalb ihnen kein Rückforderungsrecht ein- zuräumen ist. Für das erstinstanzliche Verfahren sind aufgrund Verzichts (vgl. Urk. 19, S. 2) keine Parteientschädigungen zuzusprechen. 2. Abschliessend ist über die Kosten- und Entschädigungsfolgen für das zweit- instanzliche Verfahren zu entscheiden. Die Bemessung der zweitinstanzlichen Entscheid- bzw. Spruchgebühr ist, ausgehend von einem Streitwert von Fr. 3'481.85, in Anwendung von Art. 48 i.V.m. Art. 61 Abs. 1 GebV SchKG auf Fr. 450.– festzusetzen. Da der Gesuchsgegner die in Betreibung gesetzte Forde- rung erst nach Einleitung des durch ihn veranlassten Rechtsöffnungsverfahrens bezahlt und damit die Gegenstandslosigkeit des Verfahrens verursacht hat, sind ihm auch die Prozesskosten des Beschwerdeverfahrens aufzuerlegen. Die Ent- scheidgebühr ist dabei mit dem Vorschuss der Gesuchsteller zu verrechnen (Art. 111 Abs. 1 ZPO). Der Gesuchsgegner hat die Kosten des vorliegenden Be- schwerdeverfahrens von Fr. 450.– bereits an die Gesuchsteller bezahlt (vgl. Erw. III.4.), weshalb ihnen kein Rückforderungsrecht einzuräumen ist. Für das Be- schwerdeverfahren sind keine Parteientschädigungen zuzusprechen, weil die Ge- suchsteller darauf verzichtet haben (vgl. Urk 19, S. 2) und der Gesuchsgegner ohnehin keinen Anspruch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