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RT220034 vom 28. Februar 2022</w:t>
      </w:r>
    </w:p>
    <w:p>
      <w:r>
        <w:t>ZH Obergericht, 2022-02-28, DE</w:t>
      </w:r>
    </w:p>
    <w:p>
      <w:r>
        <w:rPr>
          <w:b/>
        </w:rPr>
        <w:t xml:space="preserve">Quelle: </w:t>
      </w:r>
      <w:r>
        <w:t>https://mcp.opencaselaw.ch/entscheid/zh_obergericht_RT220034</w:t>
      </w:r>
    </w:p>
    <w:p>
      <w:r>
        <w:t>FR: ZH_OBERGERICHT RT220034 du 28 février 2022</w:t>
      </w:r>
    </w:p>
    <w:p>
      <w:r>
        <w:t>IT: ZH_OBERGERICHT RT220034 del 28 febbraio 2022</w:t>
      </w:r>
    </w:p>
    <w:p>
      <w:pPr>
        <w:pStyle w:val="Heading2"/>
      </w:pPr>
      <w:r>
        <w:t>Erwägungen</w:t>
      </w:r>
    </w:p>
    <w:p>
      <w:r>
        <w:rPr>
          <w:b/>
        </w:rPr>
        <w:t>E. 2</w:t>
      </w:r>
    </w:p>
    <w:p>
      <w:r>
        <w:t>Die Vorinstanz erwog, der Gesuchsteller stütze sein Rechtsöffnungsgesuch auf den Beschluss des Bezirksrats Dielsdorf vom 14. Januar 2021 (Urk. 4/1) und habe mittels Bescheinigung des Bezirksrats Dielsdorf vom 21. Oktober 2021 (Urk. 4/1) belegt, dass dagegen innert Frist kein Rechtsmittel erhoben worden sei. Der Beschluss vom 14. Januar 2021, in welchem der Gesuchsgegnerin Verfah- renskosten von Fr. 962.– auferlegt worden seien, sei demnach vollstreckbar und im Betreibungsverfahren einem vollstreckbaren gerichtlichen Entscheid im Sinne von Art. 80 Abs. 1 SchKG gleichgestellt. Er stelle somit einen tauglichen definiti- ven Rechtsöffnungstitel dar. Dessen inhaltliche Richtigkeit könne im Rechtsöff- nungsverfahren nicht überprüft werden. Die Gesuchsgegnerin mache in ihrer Stel- lungnahme vom 18. Dezember 2021 (Urk. 6) keine der gesetzlich vorgesehenen</w:t>
      </w:r>
    </w:p>
    <w:p>
      <w:r>
        <w:t>- 3 - Einwendungen im Sinne von Art. 81 Abs. 1 SchKG, wie namentlich Tilgung, Stun- dung oder Verjährung, geltend. Hingegen erhebe sie – wenn auch vage – gewis- se prozessuale Einwendungen gegen die Rechtmässigkeit des Betreibungs- und Rechtsöffnungsverfahrens. So bringe sie einerseits vor, dass das vorliegend zu- ständige Einzelgericht befangen sei und begründe dies sinngemäss mit der Ver- mutung, dass sich das mit dem Rechtsöffnungsverfahren betraute Einzelgericht und der Bezirksrat Dielsdorf, dessen Beschluss im vorliegenden Verfahren als de- finitiver Rechtsöffnungstitel diene (Urk. 4/1), zu nahe stünden, als dass eine un- abhängige richterliche Beurteilung möglich wäre. Auf welchen Tatsachen diese Behauptung begründet sein soll, erkläre die Gesuchsgegnerin indes nicht. Wolle eine Partei eine Gerichtsperson aufgrund von Befangenheit ablehnen, so müsse sie die den Ausstand begründenden Tatsachen glaubhaft machen (Art. 49 Abs. 1 ZPO). Glaubhaft gemacht sei eine Tatsache schon dann, wenn für deren Vorhan- densein gewisse Elemente sprächen (mit Verweis auf BGE 140 III 610 E. 4.1). Mithin genüge es nicht, diesbezüglich bloss Behauptungen aufzustellen (mit Ver- weis auf BSK ZPO-Weber, Art. 49 N 4). Die Gesuchsgegnerin vermöge nicht glaubhaft darzutun, welcher Ausstandsgrund gemäss Art. 47 ZPO vorliegend konkret einschlägig sein könnte. Die pauschale Behauptung, dass sich die jewei- ligen Behördenmitglieder mutmasslich kennen würden, vermöge die Rechtmäs- sigkeit des vorliegenden Betreibungs- und Rechtsöffnungsverfahrens nicht ernst- haft in Frage zu stellen. Im Weiteren wende die Gesuchsgegnerin ein, das zu- ständige Betreibungsamt Dielsdorf-Nord habe es zu Unrecht unterlassen, ihr eine Kopie des Zahlungsbefehls der vorliegenden Betreibung Nr. ... zuzustellen; statt- dessen habe man den Zahlungsbefehl nur Rechtsanwalt lic. iur. X._____ zuge- stellt. In diesem Zusammenhang sei aber zu beachten, dass der Rechtsöffnungs- richter im Allgemeinen nicht überprüfen dürfe, ob eine Betreibung richtig eingelei- tet und der Zahlungsbefehl mängelfrei sei (mit Verweis auf Stücheli, Die Rechts- öffnung, Diss. 2000, S. 92). Immerhin gelte es zu erwähnen, dass es einem Schuldner grundsätzlich freistehe, einen bevollmächtigten Vertreter zur Entge- gennahme von Betreibungsurkunden an seiner statt zu ermächtigen (mit Verweis auf BSK SchKG I-Angst/Rodriguez, Art. 64 N 6). Auf der Rückseite des vorliegen- den Zahlungsbefehls habe ein "X._____" als Empfänger des an die Gesuchsgeg-</w:t>
      </w:r>
    </w:p>
    <w:p>
      <w:r>
        <w:t>- 4 - nerin adressierten Zahlungsbefehls unterzeichnet, wobei sich dieser explizit als "Bevollmächtigter" deklariert habe. Es sei gerichtsnotorisch, dass Rechtsanwalt lic. iur. X._____ bereits als Rechtsvertreter der Gesuchsgegnerin verantwortlich gezeichnet habe, so etwa im Verfahren Nr. EB210234-D. Vor diesem Hintergrund bestehe für das mit dem Rechtsöffnungsverfahren betraute Einzelgericht im vor- liegenden Verfahren kein Anlass, an der ordentlichen Bevollmächtigung von Rechtsanwalt X._____ durch die Gesuchsgegnerin zum Zeitpunkt der Zustellung des Zahlungsbefehls zu zweifeln. Im Übrigen habe die Gesuchsgegnerin in ihrer Stellungnahme vom 18. Dezember 2021 ausdrücklich erklärt, dass sie den von Rechtsanwalt X._____ in ihrem Namen erhobenen Rechtsvorschlag gutheisse (Urk. 6), weshalb selbst eine nicht vorhandene Bevollmächtigung als nachträglich geheilt betrachtet werden müsste (Urk. 10 S. 4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der Ge- suchsgegnerin nicht. Darin macht sie – abgesehen von Unmutsbekundungen (vgl. Urk. 9 S. 1 unten) – bloss geltend, es stehe der Vorinstanz "aufgrund erwiesener Befangenheit nicht zu[,] den Fall zu behandeln und ein Urteil zu fällen". Der ange- fochtene Entscheid sei daher ungültig und aufzuheben (Urk. 9 S. 1 f.). Hingegen setzt sie sich weder mit den diesbezüglichen noch den übrigen Erwägungen der</w:t>
      </w:r>
    </w:p>
    <w:p>
      <w:r>
        <w:t>- 5 - Vorinstanz im angefochtenen Entscheid auseinander. So bleibt unklar, weshalb die Vorinstanz befangen sein soll, zumal allein der von der Gesuchsgegnerin im vorinstanzlichen Verfahren angeführte Umstand, dass sich Mitglieder der Vorin- stanz und des Bezirksrats allenfalls kennen (vgl. Urk. 6 S. 1), keinen Anschein von Befangenheit zu begründen vermag (vgl. Art. 47 Abs. 1 ZPO). Des Weiteren zeigt die Gesuchsgegnerin nicht auf, dass die Vorinstanz zu Unrecht davon aus- ging, der vorgenannte, in Rechtskraft erwachsene Beschluss könne im Rahmen des Rechtsöffnungsverfahrens inhaltlich nicht mehr überprüft werden (vgl. dazu BGE 143 III 564 E. 4.3.1 = Pra 107/2018 Nr. 132; BGE 142 III 78 E. 3.1). Ebenso wenig legt sie dar, dass die Vorinstanz zu Unrecht davon ausging, ihre Einwen- dungen ständen der Erteilung der Rechtsöffnung nicht entgegen, da sie weder die Tilgung, noch die Stundung oder Verjährung der Betreibungsforderung beträfen. Damit genügt die Gesuchsgegnerin ihrer Begründungsobliegenheit (vgl. oben Ziff. 3.1) nicht, weshalb auf die Beschwerde nicht einzutreten ist.</w:t>
      </w:r>
    </w:p>
    <w:p>
      <w:r>
        <w:rPr>
          <w:b/>
        </w:rPr>
        <w:t>E. 4</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der Gesuchsgegnerin die von ihr beantragte unentgeltliche Rechtspflege für das zweitinstanzliche Verfahren (vgl. Urk. 9) nicht gewährt werden kann. 5.1. Die Entscheidgebühr für das Beschwerdeverfahren ist in Anwendung von Art. 48 i.V.m. Art. 61 Abs. 1 GebV SchKG sowie unter Berücksichtigung des we- gen des Parallelverfahrens RT220036-O reduzierten Aufwands auf Fr. 100.– fest- zusetzen. Die Gerichtskosten sind ausgangsgemäss der Gesuchsgegnerin aufzu- erlegen (Art. 106 Abs. 1 ZPO). 5.2. Für das Beschwerdeverfahren sind keine Parteientschädigungen zuzuspre- chen, der Gesuchsgegnerin zufolge ihres Unterliegens (Art. 106 Abs. 1 ZPO), dem Gesuchsteller mangels relevanter Umtriebe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