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RT220028 vom 17. Februar 2022</w:t>
      </w:r>
    </w:p>
    <w:p>
      <w:r>
        <w:t>ZH Obergericht, 2022-02-17, DE</w:t>
      </w:r>
    </w:p>
    <w:p>
      <w:r>
        <w:rPr>
          <w:b/>
        </w:rPr>
        <w:t xml:space="preserve">Quelle: </w:t>
      </w:r>
      <w:r>
        <w:t>https://mcp.opencaselaw.ch/entscheid/zh_obergericht_RT220028</w:t>
      </w:r>
    </w:p>
    <w:p>
      <w:r>
        <w:t>FR: ZH_OBERGERICHT RT220028 du 17 février 2022</w:t>
      </w:r>
    </w:p>
    <w:p>
      <w:r>
        <w:t>IT: ZH_OBERGERICHT RT220028 del 17 febbraio 2022</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rPr>
          <w:b/>
        </w:rPr>
        <w:t>E. 3</w:t>
      </w:r>
    </w:p>
    <w:p>
      <w:r>
        <w:t>Die Vorinstanz erwog, der Gesuchsteller stütze sein Rechtsöffnungsbegeh- ren zum einen auf das Urteil des Bezirksgerichts Pfäffikon vom 7. Mai 2020 im Verfahren GB190006-H, wonach der Gesuchsgegner wegen mehrfacher Wider- handlung gegen das Tierschutzgesetz im Sinne von Art. 28 Abs. 1 lit. a TSchG in Verbindung mit Art. 5 Abs. 2 und Art. 45 Abs. 1 TSchV zu einer Busse von Fr. 3'000.– nebst Entscheidgebühr von Fr. 1'600.– verurteilt worden sei (mit Ver- weis auf Urk. 3/2 und Urk. 3/4). Zum anderen stütze der Gesuchsteller sein Be- gehren auf den Beschluss des Obergerichts des Kantons Zürich vom 31. März 2021 im Verfahren SU210012-O, wonach dem Gesuchsgegner infolge Nichtein- tretens auf seine Berufung vom 18. Mai 2021 die zweitinstanzliche Gerichtsge- bühr von Fr. 600.– auferlegt und die Rechtskraft des erstinstanzlichen Urteils festgestellt worden sei (mit Verweis auf Urk. 3/3). Gemäss Rechtskraftbescheini- gung sei der Beschluss der Rechtsmittelinstanz (Urk. 3/3) am 29. Mai 2021 in Rechtskraft erwachsen. Damit lägen gültige Rechtsöffnungstitel im Sinne von Art. 80 SchKG vor. Anlässlich der Verhandlung vom 16. Dezember 2021 habe der Gesuchsgegner zwar Stellung zum Rechtsöffnungsgesuch genommen, dabei al- lerdings keine Einreden im Sinne von Art. 81 Abs. 1 SchKG erhoben. Daher sei dem Gesuchsteller definitive Rechtsöffnung für Fr. 5'200.– zu erteilen (Urk. 17 S. 2 ff.). 4.1. Der Gesuchsgegner rügt, er habe anlässlich der Verhandlung vom 16. De- zember 2021 keine Gelegenheit erhalten, zum Rechtsöffnungsgesuch Stellung zu</w:t>
      </w:r>
    </w:p>
    <w:p>
      <w:r>
        <w:t>- 4 - nehmen, da er vor der Befragung und der Erstattung seiner Stellungnahme aufge- fordert worden sei, den Gerichtssaal zu verlassen (Urk. 16). Die Vorinstanz lud die Parteien am 26. November 2021 zur Verhandlung am 16. Dezember 2021 vor (Urk. 5), zu welcher der Gesuchsgegner in Begleitung seines Schwagers erschien. Im Rahmen einer mündlichen Stellungnahme bestritt er die Zuständigkeit der Vorinstanz für die Beurteilung des Rechtsöffnungsge- suchs und forderte Antworten "auf all meine Fragen". Danach könne man beim vorliegenden Fall weitermachen (Prot. I S. 4). Angesichts dessen erschliesst sich nicht, inwiefern die Vorinstanz dem Gesuchsgegner die Möglichkeit für eine Stel- lungnahme zum Rechtsöffnungsgesuch verweigert oder beschnitten haben soll, zumal dieser nicht darlegt, welche konkreten Ausführungen er nicht habe vorbrin- gen können. Abgesehen davon gehen aus dem Protokoll auch keinerlei Hinweise hervor, dass der Gesuchsgegner wie behauptet aus dem Saal gewiesen wurde (Prot. I S. 4 f.). 4.2. Soweit der Gesuchsgegner zur Begründung seiner Beschwerde weiter aus- führt, er habe Rechtsvorschlag erhoben, da keine ordentliche kaufmännische Rechnung vorliege (Urk. 16), setzt er sich mit keinem Wort mit den Erwägungen im angefochtenen Entscheid auseinander. Insbesondere zeigt er nicht auf, dass die Vorinstanz zu Unrecht davon ausging, seine Einwendungen ständen der Ertei- lung der Rechtsöffnung nicht entgegen, da sie weder die Tilgung, Stundung oder Verjährung der Betreibungsforderung beträfen. Insofern genügt er seiner Begrün- dungsobliegenheit (vgl. oben Ziff. 2) nicht, weshalb auf sein Vorbringen nicht wei- ter einzugehen ist. 4.3. Nach dem Gesagten erweist sich die Beschwerde in allen genannten Punk- ten als offensichtlich unbegründet. Weitere Beanstandungen gegen den ange- fochtenen Entscheid bringt der Gesuchsgegner nicht vor. Die Beschwerde ist da- her abzuweisen. 5.1. Die Entscheidgebühr für das Beschwerdeverfahren ist in Anwendung von Art. 48 i.V.m. Art. 61 Abs. 1 GebV SchKG auf Fr. 300.– festzusetzen. Die Ge-</w:t>
      </w:r>
    </w:p>
    <w:p>
      <w:r>
        <w:t>- 5 - richtskosten sind ausgangsgemäss dem Gesuchsgegner aufzuerlegen (Art. 106 Abs. 1 ZPO). 5.2. Für das Beschwerdeverfahren sind keine Parteientschädigungen zuzuspre- chen, dem Gesuchsgegner zufolge seines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