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RT220027 vom 17. Februar 2022</w:t>
      </w:r>
    </w:p>
    <w:p>
      <w:r>
        <w:t>ZH Obergericht, 2022-02-17, DE</w:t>
      </w:r>
    </w:p>
    <w:p>
      <w:r>
        <w:rPr>
          <w:b/>
        </w:rPr>
        <w:t xml:space="preserve">Quelle: </w:t>
      </w:r>
      <w:r>
        <w:t>https://mcp.opencaselaw.ch/entscheid/zh_obergericht_RT220027</w:t>
      </w:r>
    </w:p>
    <w:p>
      <w:r>
        <w:t>FR: ZH_OBERGERICHT RT220027 du 17 février 2022</w:t>
      </w:r>
    </w:p>
    <w:p>
      <w:r>
        <w:t>IT: ZH_OBERGERICHT RT220027 del 17 febbraio 2022</w:t>
      </w:r>
    </w:p>
    <w:p>
      <w:pPr>
        <w:pStyle w:val="Heading2"/>
      </w:pPr>
      <w:r>
        <w:t>Erwägungen</w:t>
      </w:r>
    </w:p>
    <w:p>
      <w:r>
        <w:rPr>
          <w:b/>
        </w:rPr>
        <w:t>E. 1</w:t>
      </w:r>
    </w:p>
    <w:p>
      <w:r>
        <w:t>a) Am 31. Januar 2022 ging beim Bezirksgericht Uster (Vorinstanz) das Rechtsöffnungsgesuch für Fr. 187.80 in der Betreibung Nr. … des Betrei- bungsamts Uster (Zahlungsbefehl vom 30. November 2021) ein (Vi-Urk. 1. Vi- Urk. 2/4). Mit Verfügung vom 1. Februar 2022 setzte die Vorinstanz der Gesuch- stellerin Frist zur Leistung eines Kostenvorschusses an (Vi-Urk. 3 = Urk. 2). b) Hiergegen erhob der Gesuchsgegner am 4. Februar 2022 fristgerecht (vgl. Vi-Urk. 4) Beschwerde und stellte den Beschwerdeantrag (Urk. 1 S. 1): "Es sei festzustellen, dass die Forderung für welche der beklagten Partei, mit dem Urteilsvorschlag des Friedensrichteramtes C._____, nicht besteht." Der Gesuchsgegner macht im Wesentlichen geltend, die betriebene Forde- rung bestehe nicht. Die Gesuchstellerin habe pflichtwidrig die notwendige Grund- ausrüstung bei der Ausübung des Besuchsrechts nicht mitgegeben. Die von ihm dafür bezahlten Kosten seien in den geschuldeten Unterhaltsbeiträgen enthalten und er habe diese Kosten daher zu Recht abgezogen (Urk. 1). c) Die vorinstanzlichen Akten wurden beigezogen. Da sich die Beschwer- de sogleich als offensichtlich unbegründet bzw. unzulässig erweist, kann auf wei- tere Prozesshandlungen verzichtet werden (vgl. Art. 322 Abs. 1 ZPO).</w:t>
      </w:r>
    </w:p>
    <w:p>
      <w:r>
        <w:rPr>
          <w:b/>
        </w:rPr>
        <w:t>E. 2</w:t>
      </w:r>
    </w:p>
    <w:p>
      <w:r>
        <w:t>a) Die Prozessvoraussetzungen für eine Beschwerde sind von Am- tes wegen zu prüfen, d.h. auch ohne dass eine Partei dies verlangt (Art. 60 ZPO). Eine solche Prozessvoraussetzung ist, dass diejenige Partei, welche Beschwerde erhebt, durch den angefochtenen Entscheid einen Nachteil erleidet. Ohne einen solchen Nachteil besteht kein schutzwürdiges Interesse an der Beurteilung der Beschwerde und ist dementsprechend auf diese nicht einzutreten (vgl. Art. 59 Abs. 1 und Abs. 2 lit. a ZPO). b) In der angefochtenen Verfügung wurde einzig der Gesuchstellerin Frist zur Leistung eines Gerichtskostenvorschusses angesetzt; der Gesuchsgegner wurde dagegen zu nichts verpflichtet. Der Gesuchsgegner erleidet damit durch</w:t>
      </w:r>
    </w:p>
    <w:p>
      <w:r>
        <w:t>- 3 - die angefochtene Verfügung keinen Nachteil. Demgemäss kann auf seine dage- gen erhobene Beschwerde nicht eingetreten werden.</w:t>
      </w:r>
    </w:p>
    <w:p>
      <w:r>
        <w:rPr>
          <w:b/>
        </w:rPr>
        <w:t>E. 3</w:t>
      </w:r>
    </w:p>
    <w:p>
      <w:r>
        <w:t>a) Umständehalber ist für das Beschwerdeverfahren auf die Erhe- bung von Gerichtskosten zu verzichten. b) Für das Beschwerdeverfahren sind keine Parteientschädigungen zuzu- sprechen, dem Gesuchsgegner zufolge seines Unterliegens, der Gesuchstellerin mangels relevanter Umtriebe (Art. 106 Abs. 1, Art. 95 Abs. 3 ZPO). c) Die Beschwerdeschrift stellt inhaltlich eher eine Stellungnahme zum Rechtsöffnungsgesuch dar (vgl. auch Vi-Urk. 7). Auf eine Übermittlung an die Vor- instanz kann verzichtet werden, weil diese bereits im Besitz eines Doppels samt Beilagen ist (Vi-Urk. 5 und 6/1-6).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