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RT220015 vom 14. Februar 2022</w:t>
      </w:r>
    </w:p>
    <w:p>
      <w:r>
        <w:t>ZH Obergericht, 2022-02-14, DE</w:t>
      </w:r>
    </w:p>
    <w:p>
      <w:r>
        <w:rPr>
          <w:b/>
        </w:rPr>
        <w:t xml:space="preserve">Quelle: </w:t>
      </w:r>
      <w:r>
        <w:t>https://mcp.opencaselaw.ch/entscheid/zh_obergericht_RT220015</w:t>
      </w:r>
    </w:p>
    <w:p>
      <w:r>
        <w:t>FR: ZH_OBERGERICHT RT220015 du 14 février 2022</w:t>
      </w:r>
    </w:p>
    <w:p>
      <w:r>
        <w:t>IT: ZH_OBERGERICHT RT220015 del 14 febbraio 2022</w:t>
      </w:r>
    </w:p>
    <w:p>
      <w:pPr>
        <w:pStyle w:val="Heading2"/>
      </w:pPr>
      <w:r>
        <w:t>Erwägungen</w:t>
      </w:r>
    </w:p>
    <w:p>
      <w:r>
        <w:rPr>
          <w:b/>
        </w:rPr>
        <w:t>E. 2</w:t>
      </w:r>
    </w:p>
    <w:p>
      <w:r>
        <w:t>Die Vorinstanz erwog, zur beantragten Fristerstreckung bis zur erfolgten In- struktion eines Fachanwaltes sei festzuhalten, dass es sich bei der Rechtsöffnung um ein besonders rasches summarisches Verfahren handle, über welches ge- mäss der Ordnungsvorschrift von Art. 84 Abs. 2 SchKG innert fünf Tagen seit Eingang der Stellungnahme zu entscheiden sei. Eine Erstreckung um mehr als die ursprünglich angesetzte Frist falle daher grundsätzlich ausser Betracht. Vor- liegend sei sie letztmals bis zum 17. Januar 2022 zu erstrecken (Urk. 2 S. 3 f.).</w:t>
      </w:r>
    </w:p>
    <w:p>
      <w:r>
        <w:rPr>
          <w:b/>
        </w:rPr>
        <w:t>E. 3</w:t>
      </w:r>
    </w:p>
    <w:p>
      <w:r>
        <w:t>Der Gesuchsgegner rügt, es handle sich um eine "wirklich komplexe" Mate- rie und es sei offensichtlich viel Wissen nötig, um auf Augenhöhe argumentieren und mit der fachkundigen Gegenpartei Austausch haben zu können. Daher sei er auf anwaltlichen Rat und in der Folge auf die beantragte Fristerstreckung ange- wiesen (Urk. 1 S. 1 f.). 4.1. Bei der teilweisen Abweisung des Fristerstreckungsgesuchs handelt es sich um einen prozessleitenden Entscheid. Gegen einen solchen ist die Beschwerde – von den hier nicht einschlägigen, im Gesetz explizit vorgesehenen Fällen (Art. 319 lit. b Ziff. 1 ZPO) abgesehen – nur zulässig, wenn durch ihn der beschwerde- führenden Partei ein nicht leicht wiedergutzumachender Nachteil droht (Art. 319 lit. b Ziff. 2 ZPO). Ein solcher Nachteil ist ohne weiteres anzunehmen, wenn er auch durch einen für den Ansprecher günstigen Endentscheid nicht mehr beseitigt werden kann. Indes ist bei der Annahme eines drohenden, nicht leicht wiedergut- zumachenden Nachteils grundsätzlich Zurückhaltung angebracht. Der Gesetzge-</w:t>
      </w:r>
    </w:p>
    <w:p>
      <w:r>
        <w:t>- 4 - ber hat die selbstständige Anfechtung gewöhnlicher Inzidenzentscheide absicht- lich erschwert, denn der Gang des Prozesses sollte nicht unnötig verzögert wer- den (Botschaft ZPO, BBl 2006, 7221 ff., 7377). In der Literatur wird unter Verweis auf die Botschaft die Auffassung vertreten, dass bei Vorladungen (Art. 133/134 ZPO), Terminverschiebungen (Art. 135 ZPO), Fristansetzungen und -erstreckun- gen (Art. 144 ZPO) oder Beweisanordnungen (Art. 231 ZPO) ein nicht leicht wie- dergutzumachender Nachteil kaum je in Betracht fallen könne (BK ZPO-Sterchi, Art. 319 N 14; Blickenstorfer, DIKE-Komm-ZPO, Art. 319 N 42). Die entsprechen- den prozessleitenden Verfügungen können somit erst im Rahmen des Haupt- rechtsmittels gegen den Endentscheid beanstandet werden. Die betroffene Partei muss einen nicht leicht wiedergutzumachenden Nachteil dartun, d.h. sie ist be- weispflichtig, sofern die Gefahr nicht von vornherein offenkundig ist (BK ZPO- Sterchi, Art. 319 N 15). Fehlt die Rechtsmittelvoraussetzung des drohenden, nicht leicht wiedergutzumachenden Nachteils, so ist auf die Beschwerde nicht einzutre- ten. 4.2. Der Gesuchsgegner legt in seiner Beschwerde mit keinem Wort dar, inwie- fern ihm durch die teilweise Abweisung seines Fristerstreckungsgesuchs ein nicht leicht wiedergutzumachender Nachteil droht (vgl. Urk. 1). Sollte er diesen in einer Verletzung des rechtlichen Gehörs erblicken, wäre ihm nicht zuzustimmen: Eine Gehörsverletzung kann ohne Weiteres mit dem Rechtsmittel gegen den Endent- scheid beanstandet und gegebenenfalls korrigiert werden, sollte das Verfahren ohne die Stellungnahme des Gesuchsgegners fortgesetzt werden (BK ZPO-Frei, Art. 144 N 21). Die mit einer Rückweisung der Sache an die Vorinstanz zur Ge- währung des rechtlichen Gehörs naturgemäss verbundenen Nachteile (Zeitver- lust, unnötige Kosten) vermögen keinen nicht leicht wiedergutzumachenden Nachteil im Sinne von Art. 319 lit. b Ziff. 2 ZPO zu begründen (OGer ZH RB200006 vom 6. März 2020, E. 2.3; OGer ZH PF190024 vom 21. Juni 2019, E. III/4). 4.3. Nach dem Gesagten ist auf die Beschwerde mangels eines nicht leicht wie- dergutzumachenden Nachteils nicht einzutreten.</w:t>
      </w:r>
    </w:p>
    <w:p>
      <w:r>
        <w:t>- 5 -</w:t>
      </w:r>
    </w:p>
    <w:p>
      <w:r>
        <w:rPr>
          <w:b/>
        </w:rPr>
        <w:t>E. 5</w:t>
      </w:r>
    </w:p>
    <w:p>
      <w:r>
        <w:t>Der Gesuchsgegner stellt für das vorliegende Beschwerdeverfahren – so- weit ersichtlich – kein Gesuch um Gewährung der unentgeltlichen Rechtspflege. Ein solches wäre jedoch zufolge Aussichtslosigkeit (vgl. die obigen Ausführungen) ohnehin abzuweisen gewesen. 6.1. Die Entscheidgebühr für das Beschwerdeverfahren ist in Anwendung von Art. 48 i.V.m. Art. 61 Abs. 1 GebV SchKG sowie unter Berücksichtigung des we- gen des Parallelverfahrens RT220014-O reduzierten Aufwands auf Fr. 150.– fest- zusetzen. Die Gerichtskosten sind ausgangsgemäss dem Gesuchsgegner aufzu- erlegen (Art. 106 Abs. 1 ZPO). 6.2. Für das Beschwerdeverfahren sind keine Parteientschädigungen zuzuspre- chen, dem Gesuchsgegner zufolge seines Unterliegens (Art. 106 Abs. 1 ZPO), dem Gesuchsteller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