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RT220013 vom 31. Januar 2022</w:t>
      </w:r>
    </w:p>
    <w:p>
      <w:r>
        <w:t>ZH Obergericht, 2022-01-31, DE</w:t>
      </w:r>
    </w:p>
    <w:p>
      <w:r>
        <w:rPr>
          <w:b/>
        </w:rPr>
        <w:t xml:space="preserve">Quelle: </w:t>
      </w:r>
      <w:r>
        <w:t>https://mcp.opencaselaw.ch/entscheid/zh_obergericht_RT220013</w:t>
      </w:r>
    </w:p>
    <w:p>
      <w:r>
        <w:t>FR: ZH_OBERGERICHT RT220013 du 31 janvier 2022</w:t>
      </w:r>
    </w:p>
    <w:p>
      <w:r>
        <w:t>IT: ZH_OBERGERICHT RT220013 del 31 gennaio 2022</w:t>
      </w:r>
    </w:p>
    <w:p>
      <w:pPr>
        <w:pStyle w:val="Heading2"/>
      </w:pPr>
      <w:r>
        <w:t>Erwägungen</w:t>
      </w:r>
    </w:p>
    <w:p>
      <w:r>
        <w:rPr>
          <w:b/>
        </w:rPr>
        <w:t>E. 2</w:t>
      </w:r>
    </w:p>
    <w:p>
      <w:r>
        <w:t>Die Vorinstanz erwog, die Gesuchstellerin verlange Rechtsöffnung für eine Forderung in der Höhe von Fr. 2'613.55 und stütze sich dabei auf einen unter- schriebenen Lieferschein (Urk. 2/1) sowie eine an die Gesuchsgegnerin addres- sierte Rechnung (Urk. 2/2). Der Lieferschein führe weder den Einheitspreis der gelieferten Waren noch einen Gesamtpreis auf. Zudem enthalte der Lieferschein keine ausdrückliche Schuldanerkennungsklausel, weshalb dieser keinen proviso- rischen Rechtsöffnungstitel darstelle. Die eingereichte Rechnung sei ebenfalls keine durch Unterschrift bekräftigte Schuldanerkennung der Gesuchsgegnerin, weshalb auch diesbezüglich kein gültiger Rechtsöffnungstitel vorliege. Es bestehe kein Anlass, der Gesuchstellerin Gelegenheit zum Nachreichen weiterer Urkun- den zu geben. Vielmehr sei das Rechtsöffnungsgesuch sogleich als offensichtlich unbegründet abzuweisen (Urk. 7 S. 2 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w:t>
      </w:r>
    </w:p>
    <w:p>
      <w:r>
        <w:t>- 3 -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der Gesuch- stellerin nicht. Darin schildert und ergänzt die Gesuchstellerin den aus ihrer Sicht relevanten Sachverhalt (die Gesuchsgegnerin habe aufgrund eines Konditionen- blattes [Urk. 8/1], einer telefonischen Mitteilung, einer schriftlichen Auftragsbestä- tigung [Urk. 8/2] sowie der Rechnung vom 25. August 2021 [Urk. 8/4] gewusst, wieviel das bestellte Material koste; die Gesuchsgegnerin habe mehrfach münd- lich und am 21. Oktober 2021 per Whatsapp eine Zahlung in Aussicht gestellt [Urk. 8/6]; zum Ganzen siehe Urk. 6). Hingegen setzt sich die Gesuchstellerin in ihrer Beschwerde nicht einmal ansatzweise mit den Erwägungen der Vorinstanz im angefochtenen Entscheid auseinander. Insbesondere zeigt sie nicht auf, dass die Vorinstanz zu Unrecht davon ausging, sie habe keine durch Unterschrift der Gesuchsgegnerin bekräftigte Schuldanerkennung vorgelegt, da der Lieferschein vom 25. August 2021 zwar unterzeichnet sei, aber keine Preise bzw. keinen Schuldbetrag ausweise (vgl. Urk. 2/1), und die Rechnung vom 1. September 2021 nicht unterzeichnet worden sei (vgl. Urk. 2/2). Damit genügt die Gesuchstellerin ihrer Begründungsobliegenheit (vgl. oben Ziff. 3.1) nicht, weshalb auf die Be- schwerde nicht einzutreten ist. 4.1. Die Entscheidgebühr für das Beschwerdeverfahren ist in Anwendung von Art. 48 i.V.m. Art. 61 Abs. 1 GebV SchKG auf Fr. 300.– festzusetzen. Die Ge- richtskosten sind ausgangsgemäss der Gesuchstellerin aufzuerlegen (Art. 106 Abs. 1 ZPO).</w:t>
      </w:r>
    </w:p>
    <w:p>
      <w:r>
        <w:t>- 4 - 4.2. Für das Beschwerdeverfahren sind keine Parteientschädigungen zuzuspre- chen, der Gesuchstellerin zufolge ihres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