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RT220012 vom 30. März 2022</w:t>
      </w:r>
    </w:p>
    <w:p>
      <w:r>
        <w:t>ZH Obergericht, 2022-03-30, DE</w:t>
      </w:r>
    </w:p>
    <w:p>
      <w:r>
        <w:rPr>
          <w:b/>
        </w:rPr>
        <w:t xml:space="preserve">Quelle: </w:t>
      </w:r>
      <w:r>
        <w:t>https://mcp.opencaselaw.ch/entscheid/zh_obergericht_RT220012</w:t>
      </w:r>
    </w:p>
    <w:p>
      <w:r>
        <w:t>FR: ZH_OBERGERICHT RT220012 du 30 mars 2022</w:t>
      </w:r>
    </w:p>
    <w:p>
      <w:r>
        <w:t>IT: ZH_OBERGERICHT RT220012 del 30 marzo 2022</w:t>
      </w:r>
    </w:p>
    <w:p>
      <w:pPr>
        <w:pStyle w:val="Heading2"/>
      </w:pPr>
      <w:r>
        <w:t>Erwägungen</w:t>
      </w:r>
    </w:p>
    <w:p>
      <w:r>
        <w:rPr>
          <w:b/>
        </w:rPr>
        <w:t>E. 14</w:t>
      </w:r>
    </w:p>
    <w:p>
      <w:r>
        <w:t>August 2015) durch die Fusion auf die D._____ Schweiz AG überging. Die D._____ Schweiz AG war somit berechtigt, die Forderung mittels Vertrag vom 10. Oktober 2017 an die A._____ AG zu zedieren (vgl. Urk. 2/3). Es bestehen da- her keine Zweifel an der Gläubigerstellung der Gesuchstellerin, weshalb die Be- schwerde gutzuheissen ist. 5.3 Soweit die Rechtsmittelinstanz die Beschwerde gutheisst, hebt sie den an- gefochtenen Entscheid auf und weist die Sache an die Vorinstanz zurück oder entscheidet sie neu, wenn die Sache spruchreif ist (Art. 327 Abs. 3 ZPO). Letzte- res ist vorliegend nicht der Fall, da sich das Rechtsöffnungsgesuch nicht als of- fensichtlich unzulässig oder offensichtlich unbegründet erweist und die Vorinstanz keine Stellungnahme des Gesuchsgegners einholte (Urk. 9 S. 2; vgl. auch Art. 253 ZPO). Dies kann aufgrund des im Beschwerdeverfahren zur Anwendung gelangenden umfassenden Novenverbots (vgl. Art. 326 Abs. 1 ZPO sowie oben Ziff. 2) nicht nachgeholt werden. Daher ist die angefochtene Verfügung aufzuhe- ben und die Sache an die Vorinstanz zurückzuweisen. Diese wird das Verfahren fortzusetzen und einen neuen Entscheid zu fällen haben. 6.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16.07.2020, E. 4). In diesem Sin- ne sind die Gerichtskosten des Beschwerdeverfahrens in Anwendung von Art. 48 in Verbindung mit Art. 61 Abs. 1 GebV SchKG auf Fr. 225.– festzusetzen; so- dann ist vorzumerken, dass die Gesuchstellerin einen Kostenvorschuss in der ge- nannten Höhe geleistet hat. Die Verteilung der Gerichtskosten ist der Vorinstanz zu überlassen. Demgegenüber fällt die Zusprechung und Verteilung von Partei- entschädigungen für das Beschwerdeverfahren ausser Betracht: Dem Gesuchs-</w:t>
      </w:r>
    </w:p>
    <w:p>
      <w:r>
        <w:t>- 6 - gegner sind keine Aufwendungen entstanden und die nicht anwaltlich vertretene Gesuchstellerin legt nicht dar, inwiefern ein begründeter Fall für die von ihr bean- tragte Umtriebsentschädigung im Sinne von Art. 95 Abs. 3 lit. c ZPO vorliegen sollte (vgl. BGer 4A_233/2017 vom 28. September 2017, E. 4.1).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