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RT210224 vom 10. Februar 2022</w:t>
      </w:r>
    </w:p>
    <w:p>
      <w:r>
        <w:t>ZH Obergericht, 2022-02-10, DE</w:t>
      </w:r>
    </w:p>
    <w:p>
      <w:r>
        <w:rPr>
          <w:b/>
        </w:rPr>
        <w:t xml:space="preserve">Quelle: </w:t>
      </w:r>
      <w:r>
        <w:t>https://mcp.opencaselaw.ch/entscheid/zh_obergericht_RT210224</w:t>
      </w:r>
    </w:p>
    <w:p>
      <w:r>
        <w:t>FR: ZH_OBERGERICHT RT210224 du 10 février 2022</w:t>
      </w:r>
    </w:p>
    <w:p>
      <w:r>
        <w:t>IT: ZH_OBERGERICHT RT210224 del 10 febbraio 2022</w:t>
      </w:r>
    </w:p>
    <w:p>
      <w:pPr>
        <w:pStyle w:val="Heading2"/>
      </w:pPr>
      <w:r>
        <w:t>Erwägungen</w:t>
      </w:r>
    </w:p>
    <w:p>
      <w:r>
        <w:rPr>
          <w:b/>
        </w:rPr>
        <w:t>E. 2</w:t>
      </w:r>
    </w:p>
    <w:p>
      <w:r>
        <w:t>Die vorinstanzlichen Akten wurden beigezogen (Urk. 1 - 17). Da sich die Beschwerde – wie nachfolgend aufzuzeigen sein wird – sogleich als offen- sichtlich unzulässig bzw. unbegründet erweist, kann auf weitere Prozesshandlun- gen verzichtet werden (vgl. Art. 322 Abs. 1 ZPO). 3.1. Mit der Beschwerde können unrichtige Rechtsanwendung und offen- sichtlich unrichtige Feststellung des Sachverhaltes geltend gemacht werden (Art. 320 ZPO). Die Beschwerde ist begründet einzureichen (Art. 321 Abs. 1 ZPO). 3.2. Eine Begründung setzt zunächst die Stellung von konkreten Anträgen voraus, worauf schon in der vorinstanzlichen Rechtsmittelbelehrung hingewiesen wurde (Urk. 19, Dispositiv Ziff. 5). Aus diesen Anträgen muss eindeutig hervorge- hen, in welchem Umfang der vorinstanzliche Entscheid angefochten wird und wie dieser stattdessen zu lauten hätte, wobei auf Geldzahlungen gerichtete Anträge beziffert sein müssen. Dabei genügt es, wenn sich aus der Begründung, allenfalls in Verbindung mit dem angefochtenen Entscheid, ergibt, welcher Geldbetrag zu- zusprechen ist. Fehlen genügende Anträge, so fehlt es an einer Zulässigkeitsvo- raussetzung zur Beschwerde. Diese ist durch Nichteintreten zu erledigen; eine Nachfrist darf nicht angesetzt werden (BGE 137 III 617 E. 4.2 f., E. 6.2 und E. 6.4 m.H.). 3.3. Um den Anforderungen an die Begründung der Beschwerde zu genü- gen, muss in dieser konkret dargelegt werden, was genau am erstinstanzlichen Entscheid unrichtig sein soll. Pauschale Verweisungen auf Vorbringen im vorin- stanzlichen Verfahren oder eine neuerliche Darstellung der Sach- und Rechtslage ohne Bezug zu den vorinstanzlichen Erwägungen genügen nicht, sondern die Be- schwerde muss sich mit den Entscheidgründen der Vorinstanz konkret und im Einzelnen auseinandersetzen (vgl. BGer 5D_146/2017 vom 17. November 2017, E. 3.3.2, und BGer 5A_387/2016 vom 7. September 2016, E. 3.1; je mit Hinweis</w:t>
      </w:r>
    </w:p>
    <w:p>
      <w:r>
        <w:t>- 4 - auf BGE 138 III 374 = Pra 102 [2013] Nr. 4, E. 4.3.1). Was nicht in einer den ge- setzlichen Anforderungen genügenden Weise beanstandet wird, braucht – abge- sehen von offensichtlichen Mängeln – von der Beschwerdeinstanz nicht überprüft zu werden (BGE 142 III 413 E. 2.2.4).</w:t>
      </w:r>
    </w:p>
    <w:p>
      <w:r>
        <w:rPr>
          <w:b/>
        </w:rPr>
        <w:t>E. 4</w:t>
      </w:r>
    </w:p>
    <w:p>
      <w:r>
        <w:t>In ihrer Beschwerde vom 3. Dezember 2021 macht die Gesuchsgegne- rin sinngemäss im Wesentlichen geltend, bei der von der Gesuchstellerin festge- setzten Unfallversicherungsprämie sei von einer zu hohen Lohnsumme der Ge- suchsgegnerin ausgegangen worden, da bei ihr nur ein Angestellter zu einem Stundenlohn von Fr. 25.00 tätig sei, der wegen der Corona-Pandemie nicht Voll- zeit arbeite. Demzufolge sei die Unfallversicherungsprämie viel zu hoch (Urk. 18). 5.1. Wie bereits vor Vorinstanz (Urk. 11) wendet sich die Gesuchsgegnerin mit ihren Ausführungen nicht gegen die Festsetzung der Unfallversicherungsprä- mie durch die Gesuchstellerin an und für sich, sondern sie beanstandet lediglich die Prämienhöhe. Ihre Vorbringen lassen darauf schliessen, dass die Gesuchs- gegnerin nicht die vollumfängliche Abweisung des Rechtsöffnungsgesuchs errei- chen will, sondern davon ausgeht, dass sie eine reduzierte Unfallversicherungs- prämie zu bezahlen hat. In welcher Höhe die Unfallversicherungsprämie nach An- sicht der Gesuchsgegnerin festzusetzen wäre, kann ihren Vorbringen hingegen nicht entnommen werden. Damit bleibt offen, wie das angefochtene Urteil gemäss dem Standpunkt der Gesuchsgegnerin geändert werden und stattdessen lauten sollte. Auf die Beschwerde ist daher schon mangels konkreter Beschwerdeanträ- ge nicht einzutreten. 5.2. Hinzu kommt, dass die Beschwerde der Gesuchsgegnerin den formel- len Anforderungen an die Begründung nicht genügt, zumal sie darin im Wesentli- chen auf ihrem bereits vor Vorinstanz vorgebrachten Standpunkt der zu hohen Unfallversicherungsprämien beharrt (Urk. 11; vgl. auch Urk. 19 Erw. 2.3). Hinge- gen setzt sich die Gesuchsgegnerin in ihrer Beschwerde nicht einmal ansatzweise mit den Erwägungen der Vorinstanz im angefochtenen Urteil auseinander (Urk. 18; vgl. auch Urk. 22). Sie zeigt nicht auf, weshalb die Vorinstanz zu Unrecht davon ausgegangen sein sollte, dass die Verfügung der Gesuchstellerin vom 3. Mai 2021, worin die Gesuchsgegnerin zur Zahlung von Unfallversicherungs-</w:t>
      </w:r>
    </w:p>
    <w:p>
      <w:r>
        <w:t>- 5 - prämien in der Gesamthöhe von Fr. 5'776.10 zuzüglich Verzugszins verpflichtet wurde (Urk. 4/2), einen definitiven Rechtsöffnungstitel nach Art. 49 Abs. 1 ATSG in Verbindung mit Art. 1 UVG und Art. 80 Abs. 2 Ziff. 2 SchKG darstellt (Urk. 19 Erw. 2.1 und Erw. 2.2). Auch beanstandet die Gesuchsgegnerin nicht, dass die rechtskräftige und vollstreckbare Verfügung der Gesuchstellerin vom 3. Mai 2021 im Rahmen des Rechtsöffnungsverfahrens inhaltlich nicht mehr überprüft werden kann (vgl. dazu BGE 143 III 564 = Pra 107 [2018] Nr. 132 E. 4.3.1; BGE 142 III 78 E. 3.1). Um eine inhaltliche Überprüfung zu erreichen, hätte die Gesuchsgegnerin innert Frist Einsprache gegen die Verfügung der Gesuchstellerin vom 3. Mai 2021 (Urk. 4/2) erheben müssen, was sie aber unterlassen hat (Urk. 4/4). Dem Rechts- öffnungsgericht als Vollstreckungsgericht steht die Überprüfung der betreffenden Verfügung auf ihre inhaltliche Richtigkeit nicht zu. Auch darauf hat die Vorinstanz zutreffend hingewiesen (Urk. 19 Erw. 2.4 m.H.). Ebenso wenig legt die Gesuchs- gegnerin dar, die Vorinstanz sei zu Unrecht davon ausgegangen, dass weitere Gründe, die der Erteilung der Rechtsöffnung entgegenstünden, weder von der Gesuchsgegnerin vorgebracht worden seien noch aus den Akten hervorgingen, und dass die geltend gemachte Forderung samt Verzugszins betragsmässig aus- gewiesen sei (Urk. 19 Erw. 2.5). Damit genügt die Gesuchsgegnerin ihrer Be- gründungsobliegenheit nicht, weshalb auf die Beschwerde auch aus diesem Grund nicht eingetreten werden kann. 5.3. Zur Untermauerung ihres Standpunktes der überhöhten Unfallversiche- rungsprämien hat die Gesuchsgegnerin mit ihrer Eingabe vom 2. Februar 2022 (Urk. 22) eine Prämienabrechnung der Gesuchstellerin vom 13. Januar 2022 (Urk. 23) eingereicht. Dabei handelt es sich um ein neues Beweismittel im Sinne von Art. 326 Abs. 1 ZPO, welches aufgrund des absoluten Novenverbots im Be- schwerdeverfahren nicht mehr berücksichtigt werden kann (vgl. dazu Freiburg- haus/Afheldt, in: Sutter-Somm et al., ZPO-Komm., Art. 326 N 3 f.). Demzufolge kann die Gesuchsgegnerin daraus vorliegend nichts zu ihren Gunsten ableiten. 5.4. Zusammenfassend erweist sich die Beschwerde der Gesuchsgegnerin als offensichtlich unzulässig bzw. unbegründet, weshalb darauf nicht einzutreten ist.</w:t>
      </w:r>
    </w:p>
    <w:p>
      <w:r>
        <w:t>- 6 -</w:t>
      </w:r>
    </w:p>
    <w:p>
      <w:r>
        <w:rPr>
          <w:b/>
        </w:rPr>
        <w:t>E. 6</w:t>
      </w:r>
    </w:p>
    <w:p>
      <w:r>
        <w:t>Mit dem vorliegenden Entscheid in der Sache wird das Gesuch um Er- teilung der aufschiebenden Wirkung vom 2. Februar 2022 (Urk. 22) gegenstands- los und ist daher abzuschreiben. 7.1. Für das Beschwerdeverfahren beträgt der Streitwert Fr. 5'766.10. Die zweitinstanzliche Entscheidgebühr ist in Anwendung von Art. 48 in Verbindung mit Art. 61 Abs. 1 GebV SchKG auf Fr. 300.00 festzusetzen und ausgangsgemäss der Gesuchsgegnerin aufzuerlegen (Art. 106 Abs. 1 ZPO). 7.2. Für das Beschwerdeverfahren sind keine Parteientschädigungen zuzu- sprechen,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