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RT210221 vom 8. Dezember 2021</w:t>
      </w:r>
    </w:p>
    <w:p>
      <w:r>
        <w:t>ZH Obergericht, 2021-12-08, DE</w:t>
      </w:r>
    </w:p>
    <w:p>
      <w:r>
        <w:rPr>
          <w:b/>
        </w:rPr>
        <w:t xml:space="preserve">Quelle: </w:t>
      </w:r>
      <w:r>
        <w:t>https://mcp.opencaselaw.ch/entscheid/zh_obergericht_RT210221</w:t>
      </w:r>
    </w:p>
    <w:p>
      <w:r>
        <w:t>FR: ZH_OBERGERICHT RT210221 du 8 décembre 2021</w:t>
      </w:r>
    </w:p>
    <w:p>
      <w:r>
        <w:t>IT: ZH_OBERGERICHT RT210221 del 8 dicembre 2021</w:t>
      </w:r>
    </w:p>
    <w:p>
      <w:pPr>
        <w:pStyle w:val="Heading2"/>
      </w:pPr>
      <w:r>
        <w:t>Erwägungen</w:t>
      </w:r>
    </w:p>
    <w:p>
      <w:r>
        <w:rPr>
          <w:b/>
        </w:rPr>
        <w:t>E. 2</w:t>
      </w:r>
    </w:p>
    <w:p>
      <w:r>
        <w:t>Die Vorinstanz erwog, dem Rechtsöffnungsgesuch lasse sich kein vollstän- diges Rechtsöffnungsbegehren entnehmen. Es werde weder ein Streitwert ge- nannt noch sei einer ersichtlich. Weiter habe der Gesuchsteller keinen Zahlungs- befehl und keinen Rechtsöffnungstitel beigelegt. Ferner habe er sich weder zur Entstehung noch zur Zusammensetzung der gegenüber der Gesuchsgegnerin geltend gemachten Forderung geäussert. Der Gesuchsteller komme somit seiner Behauptungs- und Substantiierungslast in keiner Weise nach und es handle sich um ein offensichtlich unbegründetes Gesuch. Die richterliche Fragepflicht greife nicht, weil der Gesuchsteller keinerlei massgebliche Tatsachen behauptet oder of- feriert habe und es schlichtweg an einer Begründung des Rechtsöffnungsgesuchs und an einem Rechtsöffnungstitel fehle. Im Übrigen sei beim Gesuchsteller, der das Rechtsöffnungsgesuch mit "Dr. iur." unterzeichnet habe, nicht von einem ju- ristischen Laien auszugehen, und es könne davon ausgegangen werden, dass der Gesuchsteller in einfachen Fällen prozessual genügende Eingaben verfassen könne, womit die richterliche Fragepflicht auch aus diesem Grund entfalle (Urk. 7 S. 3 f.).</w:t>
      </w:r>
    </w:p>
    <w:p>
      <w:r>
        <w:t>- 3 - 3.1.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des Gesuchstellers nicht. Darin stellt er sich auf den Standpunkt, er habe mit einem Foto und einer Kopie des Fahrzeugausweises nachgewiesen, dass die Gesuchsgegnerin einen ungeeigneten Tachometer in seiner B'._____ … [Automarke] installiert habe. Ab- gesehen davon, dass der Gesuchsteller sich dabei auf unzulässige und daher un- beachtliche neue Beweismittel stützt (Art. 326 Abs. 1 ZPO), setzt er sich auch nicht mit der zutreffenden Erwägung der Vorinstanz auseinander, er habe keinen Rechtsöffnungstitel vorgelegt. Das summarische Rechtsöffnungsverfahren steht aber einem Gläubiger nur dann zur Verfügung, wenn er über einen Rechtsöff- nungstitel verfügt, ansonsten der Anspruch auf dem Weg des ordentlichen Zivil- prozesses geltend zu machen ist (Art. 79 SchKG). Nach dem Gesagten erweist sich die Beschwerde als offensichtlich unbegründet, weshalb darauf nicht einzu- treten ist. 4.1. Die Entscheidgebühr für das Beschwerdeverfahren ist in Anwendung von Art. 48 i.V.m. Art. 61 Abs. 1 GebV SchKG auf Fr. 300.– festzusetzen. Die Ge- richtskosten sind ausgangsgemäss dem Gesuchsteller aufzuerlegen (Art. 106 Abs. 1 ZPO).</w:t>
      </w:r>
    </w:p>
    <w:p>
      <w:r>
        <w:t>- 4 - 4.2. Für das Beschwerdeverfahren sind keine Parteientschädigungen zuzuspre- chen, dem Gesuchsteller zufolge seines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