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RT210202 vom 15. November 2021</w:t>
      </w:r>
    </w:p>
    <w:p>
      <w:r>
        <w:t>ZH Obergericht, 2021-11-15, DE</w:t>
      </w:r>
    </w:p>
    <w:p>
      <w:r>
        <w:rPr>
          <w:b/>
        </w:rPr>
        <w:t xml:space="preserve">Quelle: </w:t>
      </w:r>
      <w:r>
        <w:t>https://mcp.opencaselaw.ch/entscheid/zh_obergericht_RT210202</w:t>
      </w:r>
    </w:p>
    <w:p>
      <w:r>
        <w:t>FR: ZH_OBERGERICHT RT210202 du 15 novembre 2021</w:t>
      </w:r>
    </w:p>
    <w:p>
      <w:r>
        <w:t>IT: ZH_OBERGERICHT RT210202 del 15 novembre 2021</w:t>
      </w:r>
    </w:p>
    <w:p>
      <w:pPr>
        <w:pStyle w:val="Heading2"/>
      </w:pPr>
      <w:r>
        <w:t>Erwägungen</w:t>
      </w:r>
    </w:p>
    <w:p>
      <w:r>
        <w:rPr>
          <w:b/>
        </w:rPr>
        <w:t>E. 2</w:t>
      </w:r>
    </w:p>
    <w:p>
      <w:r>
        <w:t>Die Vorinstanz erwog, die Gesuchstellerin verlange die Erteilung der Rechtsöffnung für einen Gesamtbetrag von Fr. 27'393.35. Als Rechtsöffnungstitel habe sie in ihrem Gesuch die Rechnungskopien AR1005667, AR1005673, AR1005674, AR1005891 und AR1006088 aufgeführt und hierzu die jeweiligen Rechnungen eingereicht (mit Verweis auf Urk. 3/1-10). Weder in den genannten Rechnungen noch im eingereichten Kontoauszug vom 29. Juni 2021 (Urk. 3/1) könne jedoch ein provisorischer Rechtsöffnungstitel im Sinne von Art. 82 SchKG erblickt werden. Namentlich fehle es an der ausdrücklichen, durch eigenhändige Unterschrift bekräftigten Anerkennung der Forderung durch den mutmasslichen Schuldner. Eine öffentliche Beurkundung liege ebenfalls nicht vor. Demnach fehle es der Gesuchstellerin im vorliegenden Fall an einem Rechtsöffnungstitel, wes- halb das Rechtsöffnungsgesuch abzuweisen sei (Urk. 7 S. 2 f.).</w:t>
      </w:r>
    </w:p>
    <w:p>
      <w:r>
        <w:t>- 3 - 3.1.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 der Gesuchstelle- rin nicht. Darin führt sie im Wesentlichen bloss aus, gestützt auf die beigelegten Dokumente könne sie beweisen, dass die Gesuchsgegnerin ihrer Pflicht zur Be- gleichung von offenen Forderungen für bestellte und gelieferte Ware nicht nach- gekommen sei (Urk. 12 S. 1). Soweit sie sich dabei auf neue Beweismittel stützt (Urk. 9/1-3 und Urk. 9/4-8 jeweils S. 3 ff.), haben diese aufgrund des im vorlie- genden Beschwerdeverfahren zur Anwendung gelangenden umfassenden No- venverbots (Art. 326 Abs. 1 ZPO) von vornherein unberücksichtigt zu bleiben. Hingegen äussert sich die Gesuchstellerin nicht zur zutreffenden Erwägung der Vorinstanz, eine zur provisorischen Rechtsöffnung berechtigende Schuldaner- kennung, in welcher die Gesuchsgegnerin die in Betreibung gesetzte Forderung mit Unterschrift anerkannt habe, sei nicht vorgelegt worden. So weist keines der im vorinstanzlichen Verfahren eingereichten Dokumente eine Unterschrift der Ge- suchsgegnerin auf (vgl. Urk. 3/1-10). Das summarische Rechtsöffnungsverfahren steht aber einem Gläubiger nur dann zur Verfügung, falls die betriebene Forde- rung auf einer durch Unterschrift bekräftigten Schuldanerkennung beruht (Art. 82 SchKG), ansonsten der Anspruch auf dem Weg des ordentlichen Zivilprozesses geltend zu machen ist (Art. 79 SchKG). Infolgedessen erweist sich die Beschwer- de als offensichtlich unbegründet, weshalb darauf nicht einzutreten ist.</w:t>
      </w:r>
    </w:p>
    <w:p>
      <w:r>
        <w:t>- 4 - 4.1. Die Entscheidgebühr für das Beschwerdeverfahren ist in Anwendung von Art. 48 i.V.m. Art. 61 Abs. 1 GebV SchKG auf Fr. 500.– festzusetzen. Die Ge- richtskosten sind ausgangsgemäss der Gesuchstellerin aufzuerlegen (Art. 106 Abs. 1 ZPO). 4.2. Für das Beschwerdeverfahren sind keine Parteientschädigungen zuzuspre- chen, der Gesuchstellerin zufolge ihres Unterliegens (Art. 106 Abs. 1 ZPO), der Gesuchsgegnerin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