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RT210200 vom 4. November 2021</w:t>
      </w:r>
    </w:p>
    <w:p>
      <w:r>
        <w:t>ZH Obergericht, 2021-11-04, DE</w:t>
      </w:r>
    </w:p>
    <w:p>
      <w:r>
        <w:rPr>
          <w:b/>
        </w:rPr>
        <w:t xml:space="preserve">Quelle: </w:t>
      </w:r>
      <w:r>
        <w:t>https://mcp.opencaselaw.ch/entscheid/zh_obergericht_RT210200</w:t>
      </w:r>
    </w:p>
    <w:p>
      <w:r>
        <w:t>FR: ZH_OBERGERICHT RT210200 du 4 novembre 2021</w:t>
      </w:r>
    </w:p>
    <w:p>
      <w:r>
        <w:t>IT: ZH_OBERGERICHT RT210200 del 4 novembre 2021</w:t>
      </w:r>
    </w:p>
    <w:p>
      <w:pPr>
        <w:pStyle w:val="Heading2"/>
      </w:pPr>
      <w:r>
        <w:t>Erwägungen</w:t>
      </w:r>
    </w:p>
    <w:p>
      <w:r>
        <w:rPr>
          <w:b/>
        </w:rPr>
        <w:t>E. 2</w:t>
      </w:r>
    </w:p>
    <w:p>
      <w:r>
        <w:t>Die Vorinstanz erwog, aus der rechtskräftigen Verfügung der IV-Stelle Zürich vom 11. Februar 2016 (Urk. 3/1) bzw. dem ebenfalls vorgelegten, in Rechtskraft erwachsenen Urteil des Sozialversicherungsgerichts des Kantons Zürich vom</w:t>
      </w:r>
    </w:p>
    <w:p>
      <w:r>
        <w:rPr>
          <w:b/>
        </w:rPr>
        <w:t>E. 4</w:t>
      </w:r>
    </w:p>
    <w:p>
      <w:r>
        <w:t>August 2017 (Urk. 3/3) gehe hervor, dass im vorliegenden Fall bereits ab- schliessend über den materiellen Bestand der dem Pfändungsverlustschein Nr. 2 des Betreibungsamtes Rafzerfeld vom 18. Februar 2019 zugrundeliegenden For- derung befunden worden sei, weshalb grundsätzlich definitive Rechtsöffnung er- teilt werden könne. Da sich aus den Akten keine Anhaltspunkte für eine gegen den Verlustschein erhobene Beschwerde nach Art. 17 SchKG ergäben, sei so- dann davon auszugehen, dass die im Verlustschein aufgeführten Kosten in Rechtskraft erwachsen und somit ebenfalls ausgewiesen seien. Deshalb bestehe</w:t>
      </w:r>
    </w:p>
    <w:p>
      <w:r>
        <w:t>- 3 - aufgrund der Gesamtheit der Urkunden (Verlustschein vom 18. Februar 2019, Verfügung der IV-Stelle Zürich vom 11. Februar 2016 und Urteil des Sozialversi- cherungsgerichts des Kantons Zürich vom 4. August 2017; Urk. 3/1-3) für den Be- trag von insgesamt Fr. 110'864.60 ein definitiver Rechtsöffnungstitel. Die drei Identitäten (zwischen dem Betreibenden und dem auf dem Rechtsöffnungstitel genannten Gläubiger, zwischen dem Betriebenen und dem auf dem Rechtsöff- nungstitel genannten Schuldner sowie zwischen der in Betreibung gesetzten For- derung und derjenigen, welche sich aus dem Rechtsöffnungstitel ergebe) seien gegeben. Weiter sei aufgrund des vorangegangenen Pfändungsvollzuges davon auszugehen, dass die betriebene Forderung bei Zustellung des Zahlungsbefehls fällig gewesen sei. Der Gesuchsgegner bringe in seiner Stellungnahme vom 22. Juni 2021 zusammengefasst vor, dass die ihm für den Zeitraum von Oktober 2010 bis 2013 ausgerichteten IV-Renten mit Verfügung vom 11. Februar 2016 zu Unrecht zurückgefordert worden seien, da er tatsächlich krank gewesen bzw. im- mer noch sei (Urk. 8). Hierfür lege er diverse, teilweise in kroatischer Sprache ver- fasste Belege vor, welche allesamt seine Krankheitsgeschichte bzw. seinen Ge- sundheitszustand beträfen (Urk. 9/1-32). Der Gesuchsgegner mache somit Ein- wendungen gegen den materiellen Bestand der betriebenen Forderung geltend, welche im vorliegenden definitiven Rechtsöffnungsverfahren jedoch nicht über- prüft werden könnten. Über den materiellen Bestand der Forderung sei vielmehr in der rechtskräftigen Verfügung vom 11. Februar 2016 bzw. dem Urteil des Sozi- alversicherungsgerichts vom 4. August 2017 abschliessend befunden worden (Urk. 3/1 und Urk. 3/3). Die Einwände des Gesuchsgegners erwiesen sich damit als unbehelflich (Urk. 17 S. 2 ff.).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w:t>
      </w:r>
    </w:p>
    <w:p>
      <w:r>
        <w:t>- 4 -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 des Gesuchsgeg- ners nicht. Darin beharrt er im Wesentlichen auf seinem Standpunkt, er habe von 2010 bis 2013 zu Recht eine IV-Rente bezogen, da er damals schwer krank ge- wesen sei (Urk. 16), womit er sinngemäss erneut geltend macht, die Verfügung der IV-Stelle Zürich vom 11. Februar 2016 betreffend Rückforderung sowie das Urteil des Sozialversicherungsgerichts des Kantons Zürich vom 4. August 2017 beruhten auf einem falschen Sachverhalt. Hingegen setzt sich der Gesuchsgeg- ner in seiner Beschwerde nicht einmal ansatzweise mit den Erwägungen der Vor- instanz im angefochtenen Entscheid auseinander. Insbesondere zeigt er nicht auf, dass die Vorinstanz zu Unrecht davon ausging, die vorgenannten, in Rechtskraft erwachsenen Entscheide könnten im Rahmen des Rechtsöffnungsverfahrens in- haltlich nicht mehr überprüft werden (vgl. dazu BGE 143 III 564 E. 4.3.1 = Pra 107/2018 Nr. 132; BGE 142 III 78 E. 3.1). Ebenso wenig legt er dar, dass die Vor- instanz zu Unrecht davon ausging, seine Einwendungen ständen der Erteilung der Rechtsöffnung nicht entgegen, da sie weder die Tilgung, Stundung oder Ver- jährung der Betreibungsforderung beträfen. Damit genügt der Gesuchsgegner seiner Begründungsobliegenheit (vgl. oben Ziff. 3.1) nicht, weshalb auf die Be- schwerde nicht einzutreten ist.</w:t>
      </w:r>
    </w:p>
    <w:p>
      <w:r>
        <w:rPr>
          <w:b/>
        </w:rPr>
        <w:t>E. 4.1</w:t>
      </w:r>
    </w:p>
    <w:p>
      <w:r>
        <w:t>Die Entscheidgebühr für das Beschwerdeverfahren ist in Anwendung von Art. 48 i.V.m. Art. 61 Abs. 1 GebV SchKG auf Fr. 1'000.– festzusetzen. Die Ge- richtskosten sind ausgangsgemäss dem Gesuchsgegner aufzuerlegen (Art. 106 Abs. 1 ZPO).</w:t>
      </w:r>
    </w:p>
    <w:p>
      <w:r>
        <w:rPr>
          <w:b/>
        </w:rPr>
        <w:t>E. 4.2</w:t>
      </w:r>
    </w:p>
    <w:p>
      <w:r>
        <w:t>Für das Beschwerdeverfahren sind keine Parteientschädigungen zuzuspre- chen, dem Gesuchsgegner zufolge seines Unterliegens (Art. 106 Abs. 1 ZPO), dem Gesuchsteller mangels relevanter Umtriebe (Art. 95 Abs. 3 ZPO).</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