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RT210199 vom 26. Januar 2022</w:t>
      </w:r>
    </w:p>
    <w:p>
      <w:r>
        <w:t>ZH Obergericht, 2022-01-26, DE</w:t>
      </w:r>
    </w:p>
    <w:p>
      <w:r>
        <w:rPr>
          <w:b/>
        </w:rPr>
        <w:t xml:space="preserve">Quelle: </w:t>
      </w:r>
      <w:r>
        <w:t>https://mcp.opencaselaw.ch/entscheid/zh_obergericht_RT210199</w:t>
      </w:r>
    </w:p>
    <w:p>
      <w:r>
        <w:t>FR: ZH_OBERGERICHT RT210199 du 26 janvier 2022</w:t>
      </w:r>
    </w:p>
    <w:p>
      <w:r>
        <w:t>IT: ZH_OBERGERICHT RT210199 del 26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sei auf das Begehren der Gesuchstellerin betreffend Rechtsöff- nung nicht einzutreten.</w:t>
      </w:r>
    </w:p>
    <w:p>
      <w:r>
        <w:rPr>
          <w:b/>
        </w:rPr>
        <w:t>E. 2</w:t>
      </w:r>
    </w:p>
    <w:p>
      <w:r>
        <w:t>Es sei der Eintrag im Betreibungsregister des Betreibungsamtes Opfikon (Zahlungsbefehl vom 14. September 2020) betreffend die Betreibung Nr. 1 zu löschen.</w:t>
      </w:r>
    </w:p>
    <w:p>
      <w:r>
        <w:rPr>
          <w:b/>
        </w:rPr>
        <w:t>E. 3</w:t>
      </w:r>
    </w:p>
    <w:p>
      <w:r>
        <w:t>Es sei das auf die Gesuchsgegnerin lautende Mieterkautionsspar- konto 2 bei der Zürcher Kantonalbank aufzulösen und eine vollum- fängliche Überweisung ohne jeglichen Abzug auf das Bankkonto der Gesuchsgegnerin bei der UBS (IBAN CH3) vorzunehmen.</w:t>
      </w:r>
    </w:p>
    <w:p>
      <w:r>
        <w:rPr>
          <w:b/>
        </w:rPr>
        <w:t>E. 4</w:t>
      </w:r>
    </w:p>
    <w:p>
      <w:r>
        <w:t>Die B._____ AG wird verpflichtet der A._____ GmbH rückwirkend für die Zeitdauer von 01.06.2015 bis 31.11.2019 den Differenzbe- trag der überteuerten Parkplatzmieten zu rückerstatten. Die Be- rechnung beträgt 54 Monate à CHF 1'500 exkl. MwSt. Dies ergibt den Betrag von CHF 81'000 exkl. MwSt. Die Auszahlung erfolgt auf UBS CH3 lauten auf A._____ GmbH." c) Die vorinstanzlichen Akten wurden beigezogen (vgl. Urk. 1-10). 2. a) Die beschwerdeführende Partei hat im Einzelnen – in der Beschwer- debegründung (vgl. Art. 321 Abs. 1 ZPO) selbst – darzulegen, an welchen Män- geln (unrichtige Rechtsanwendung, offensichtlich unrichtige Feststellung des Sachverhalts) der angefochtene Entscheid ihrer Ansicht nach leidet (Frei- burghaus/Afheldt, in: Sutter-Somm/ Hasenböhler/Leuenberger, ZPO Komm., Art. 321 N 15). Unerlässlich ist, dass die Beschwerde auf die Begründung des angefochtenen Entscheids eingeht. Die beschwerdeführende Partei soll in der Beschwerdeschrift nicht bloss die Standpunkte, die sie im vorinstanzlichen Ver-</w:t>
      </w:r>
    </w:p>
    <w:p>
      <w:r>
        <w:t>- 4 - fahren eingenommen hat, erneut bekräftigen, sondern mit ihrer Kritik an den als fehlerhaft erachteten Erwägungen der Vorinstanz ansetzen (vgl. zum diesbezüg- lich analogen bundesgerichtlichen Verfahren BGer 4A_498/2021 vom 21. De- zember 2021, E. 2.1 m.w.H.). Erfüllt die Beschwerde grundlegende Inhaltsanforderungen nicht, fehlt es an einer Eintretensvoraussetzung und die Rechtsmittelinstanz hat darauf nicht einzu- treten. Inhaltliche Nachbesserung der Begründung ist nach Ablauf der Beschwer- defrist nicht zulässig (BGer 5D_215/2015 vom 16. März 2016, E. 3.1 m.w.H.). Den diesbezüglich gleichen prozessualen Anforderungen unterliegt die Be- rufung gemäss Art. 308 ff. ZPO. b) Die Eingabe der Gesuchsgegnerin ist als Beschwerde (und Berufung) un- zureichend, da sich diese mit der Begründung des Entscheides der Vorinstanz nicht auseinandersetzt (vgl. Urk. 11). Ihre Beschwerdeschrift deckt sich im We- sentlichen wortwörtlich mit ihrer im erstinstanzlichen Verfahren eingereichten Stel- lungnahme vom 25. August 2021 (Urk. 7). In solch wörtlichen Wiederholungen der früheren Eingabe kann jedoch von vornherein keine genügende Auseinanderset- zung mit den angefochtenen Entscheiden erblickt werden (BGer 5A_563/2021 vom 18. Oktober 2021, E. 2.3 m.w.H.). So unterlässt es die Gesuchsgegnerin ins- besondere, konkret auf die vorinstanzlichen Erwägungen einzugehen, dass der von den Parteien geschlossene Mietvertrag über zwei Taxistandplätze beim Bahnhof C._____ vom 3. Juni 2015 (Urk. 4/2 S. 1-3) sowie die beiden vertragli- chen Nachträge vom 17. November 2016 (Urk. 4/2 S. 5 f.) und 13. November 2019 (Urk. 4/3) als provisorischer Rechtsöffnungstitel taugten (Urk. 12 S. 4 f. E. 4), dass die im Rechtsöffnungsbegehren geltend gemachten Forderungsbeträ- ge bestimmt und nachvollziehbar seien (Urk. 12 S. 6 f. E. 6) und dass betreffend den geltend gemachten Wasserschaden keine Herabsetzungsansprüche beziffert worden seien (Urk. 12 S. 8 E. 7.2) sowie im Übrigen keine substantiierten Ein- wendungen der Gesuchsgegnerin vorlägen (Urk. 12 S. 8 f. E. 7.3), weshalb für die beiden Beträge in der Höhe von jeweils Fr. 1'615.50 provisorische Rechtsöffnung zu erteilen sei (Urk. 12 S. 9 E. 7.4). Auch auf die vorinstanzliche Erwägung, im Rechtsöffnungsverfahren sei auf die Rechtsbegehren Ziff. 3 und 4 der Gesuchs-</w:t>
      </w:r>
    </w:p>
    <w:p>
      <w:r>
        <w:t>- 5 - gegnerin nicht einzutreten (Urk. 12 S. 10 E. 9.2), ging diese in der Rechtsmittel- schrift (Urk. 11) nicht ein. So unterliess sie es, sich mit der vorinstanzlichen Erwä- gung, dass im Rechtsöffnungsverfahren eine Widerklage aufgrund des Beschleu- nigungsgebots und der besonderen Natur der Rechtsöffnung als Vollstreckungs- massnahme abzulehnen sei (Urk. 12 S. 10 E. 9.2), auseinanderzusetzen. Schliesslich äusserte sich die Gesuchsgegnerin in ihrer Beschwerdeschrift auch nicht zur vorinstanzlichen Erwägung, dass ihr Rechtsbegehren Ziff. 2 mangels entsprechender Anspruchsgrundlage abzuweisen sei (Urk. 12 S. 11 E. 9.4). Die Beschwerdeschrift erfüllt damit die vorstehend (E. 2.a) genannten Begründungs- anforderungen nicht, weshalb auf die Beschwerde der Gesuchsgegnerin nicht einzutreten ist. 3. Die Prozesskosten werden der unterliegenden Partei auferlegt. Bei Nicht- eintreten gilt die klagende Partei bzw. die Partei, welche das Rechtsmittel erho- ben hat, als unterliegend (vgl. Art. 106 Abs. 1 ZPO), weshalb der Gesuchsgegne- rin die Gerichtskosten des Beschwerdeverfahrens aufzuerlegen sind. Die Spruch- gebühr ist gestützt auf Art. 48 i.V.m. Art. 61 Abs. 1 GebV SchKG auf Fr. 300.– festzusetzen. Mangels wesentlicher Umtriebe ist der Gesuchstellerin für das Be- schwerdeverfahren keine Entschädigung zuzusprechen (vgl. Art. 95 Abs. 3 ZPO). Die Gesuchsgegnerin ihrerseits hat als unterliegende Partei keinen Anspruch auf Entschädigung (vgl.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