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RT210191 vom 17. Dezember 2021</w:t>
      </w:r>
    </w:p>
    <w:p>
      <w:r>
        <w:t>ZH Obergericht, 2021-12-17, DE</w:t>
      </w:r>
    </w:p>
    <w:p>
      <w:r>
        <w:rPr>
          <w:b/>
        </w:rPr>
        <w:t xml:space="preserve">Quelle: </w:t>
      </w:r>
      <w:r>
        <w:t>https://mcp.opencaselaw.ch/entscheid/zh_obergericht_RT210191</w:t>
      </w:r>
    </w:p>
    <w:p>
      <w:r>
        <w:t>FR: ZH_OBERGERICHT RT210191 du 17 décembre 2021</w:t>
      </w:r>
    </w:p>
    <w:p>
      <w:r>
        <w:t>IT: ZH_OBERGERICHT RT210191 del 17 dicembre 2021</w:t>
      </w:r>
    </w:p>
    <w:p>
      <w:pPr>
        <w:pStyle w:val="Heading2"/>
      </w:pPr>
      <w:r>
        <w:t>Erwägungen</w:t>
      </w:r>
    </w:p>
    <w:p>
      <w:r>
        <w:rPr>
          <w:b/>
        </w:rPr>
        <w:t>E. 2</w:t>
      </w:r>
    </w:p>
    <w:p>
      <w:r>
        <w:t>Die Vorinstanz erwog zusammengefasst, die Gesuchstellerin stütze ihr Rechtsöffnungsgesuch u.a. auf eine vom Gesuchsgegner unterzeichnete Kopie eines Kontoauszugs mit handschriftlichen Anmerkungen vom 13. März 2021 [rec- te: 2019] (Urk. 7/1). Darin habe sich der Gesuchsgegner mit Unterschrift verpflich- tet, der Gesuchstellerin u.a. den Betrag von Fr. 3'631.– als Akontobeitrag für das Jahr 2019 bis spätestens 30. Juni 2019 zu bezahlen. Entsprechend sei der Kon- toauszug als Schuldanerkennung im Sinne von Art. 82 Abs. 1 SchKG zu qualifi- zieren. Anlässlich der Verhandlung vom 6. Januar 2021 habe der Gesuchsgegner bestritten, dass es einen Rechtsöffnungstitel gebe. Auf Vorhalt der Schuldaner- kennung vom 13. März 2019 habe er ausgeführt, sich hieran nicht mehr erinnern zu können. Er wisse nicht, ob er selbst oder der Verwalter diese unterschrieben habe.</w:t>
      </w:r>
    </w:p>
    <w:p>
      <w:r>
        <w:t>- 3 - Indem der Gesuchsgegner lediglich behaupte, sich an die Unterzeichnung der erwähnten Schuldanerkennung nicht mehr erinnern zu können, vermöge er deren Gültigkeit nicht zu entkräften. Zwar führe er aus, dass er die Nebenkostenabrech- nungen der Gesuchstellerin als zu hoch empfinde, weshalb er der Gesuchstellerin mitgeteilt habe, die Forderung für Akontobeiträge für das Jahr 2019 nicht anzuer- kennen (mit Verweis auf Prot. I S. 6 f.). Ziel des Verfahrens um Gewährung der provisorischen Rechtsöffnung sei jedoch nicht die Feststellung des materiellen Bestandes der in Betreibung gesetzten Forderung, sondern lediglich die Anerken- nung des Vorliegens einer vollstreckbaren Urkunde dafür (mit Verweis auf BGer 5A_914/2020 vom 28. April 2021 E. 3.1 und BGE 132 III 140 E. 4.1.1). Demnach vermöge der Gesuchsgegner nicht glaubhaft darzulegen, dass die von der Ge- suchstellerin eingereichte Schuldanerkennung keine solche sei. Weitere Einwen- dungen mache der Gesuchsgegner nicht, weshalb es ihm nicht gelinge, die Schuldanerkennung zu entkräften. Der Gesuchstellerin sei daher provisorische Rechtsöffnung für Fr. 3'631.– zu erteilen (Urk. 25 S. 3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Ge- suchsgegners nicht. Darin beharrt er bloss auf seinem Standpunkt, die Verwal- tung habe ihm viel zu viele Kosten verrechnet. Insbesondere für den Lift und für</w:t>
      </w:r>
    </w:p>
    <w:p>
      <w:r>
        <w:t>- 4 - die Verwaltung seien zu hohe Kosten festgelegt worden. Auch wolle er wissen, wo die für den Bau eines Spielplatzes vorgesehenen Fr. 150'000.– geblieben sei- en, zumal dieser nie gebaut worden sei (Urk. 24). Hingegen setzt sich der Ge- suchsgegner in seiner Beschwerde nicht einmal ansatzweise mit den Erwägun- gen der Vorinstanz im angefochtenen Entscheid auseinander. Insbesondere zeigt er nicht auf, dass die Vorinstanz zu Unrecht davon ausging, der Kontoauszug vom 13. März 2019 sei von ihm unterzeichnet worden und als Schuldanerken- nung im Sinne von Art. 82 Abs. 1 SchKG zu qualifizieren. Ebenso wenig legt er dar, dass die Vorinstanz zu Unrecht davon ausging, er habe keine Einwendungen vorgebracht, welche die erwähnte Schuldanerkennung zu entkräften vermöchten. Damit genügt der Gesuchsgegner seiner Begründungsobliegenheit (vgl. oben Ziff. 3.1) nicht, weshalb auf die Beschwerde nicht einzutreten ist. 4.1. Die Entscheidgebühr für das Beschwerdeverfahren ist in Anwendung von Art. 48 i.V.m. Art. 61 Abs. 1 GebV SchKG auf Fr. 300.– festzusetzen. Die Ge- richtskosten sind ausgangsgemäss dem Gesuchsgegner aufzuerlegen (Art. 106 Abs. 1 ZPO). 4.2.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