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RT210177 vom 8. Dezember 2021</w:t>
      </w:r>
    </w:p>
    <w:p>
      <w:r>
        <w:t>ZH Obergericht, 2021-12-08, DE</w:t>
      </w:r>
    </w:p>
    <w:p>
      <w:r>
        <w:rPr>
          <w:b/>
        </w:rPr>
        <w:t xml:space="preserve">Quelle: </w:t>
      </w:r>
      <w:r>
        <w:t>https://mcp.opencaselaw.ch/entscheid/zh_obergericht_RT210177</w:t>
      </w:r>
    </w:p>
    <w:p>
      <w:r>
        <w:t>FR: ZH_OBERGERICHT RT210177 du 8 décembre 2021</w:t>
      </w:r>
    </w:p>
    <w:p>
      <w:r>
        <w:t>IT: ZH_OBERGERICHT RT210177 del 8 dicembre 2021</w:t>
      </w:r>
    </w:p>
    <w:p>
      <w:pPr>
        <w:pStyle w:val="Heading2"/>
      </w:pPr>
      <w:r>
        <w:t>Erwägungen</w:t>
      </w:r>
    </w:p>
    <w:p>
      <w:r>
        <w:rPr>
          <w:b/>
        </w:rPr>
        <w:t>E. 1</w:t>
      </w:r>
    </w:p>
    <w:p>
      <w:r>
        <w:t>a) Mit Urteil vom 23. August 2021 erteilte die Vorinstanz den Gesuchstel- lern und Beschwerdegegnern (fortan Gesuchsteller) in der Betreibung Nr. ... des Betreibungsamtes Zürich 1 (Zahlungsbefehl vom 29. April 2021) gestützt auf ei- nen von den Parteien am 20. bzw. 30. Dezember 2019 unterzeichneten Forde- rungskaufvertrag (Urk. 5/4) und eine Ergänzungsvereinbarung der Parteien zum Kaufvertrag vom 14. bzw. 15. Februar 2020 (Urk. 5/6) provisorische Rechtsöff- nung für Fr. 13'750.– nebst Zins zu 5 % seit 16. Mai 2020 (Urk. 16 = Urk. 21). b) Hiergegen erhob die Gesuchsgegnerin und Beschwerdeführerin (fortan Gesuchsgegnerin) mit Eingabe vom 17. September 2021 innert Frist Beschwerde mit dem Antrag, das angefochtene Urteil sei aufzuheben und das Rechtsöff- nungsbegehren vollumfänglich abzuweisen, alles unter Kosten- und Entschädi- gungsfolgen zuzüglich MwSt. zulasten der Gesuchsteller (Urk. 20). Mit Verfügung vom 22. September 2021 wurde der Gesuchsgegnerin Frist angesetzt, um für die Gerichtskosten des Beschwerdeverfahrens einen Vorschuss von Fr. 750.– zu leisten (Urk. 24). Dieser ging hierorts innert Frist ein (Urk. 24 f.). c) Die vorinstanzlichen Akten wurden beigezogen (vgl. Urk. 1-19). d) Auf die von der Gesuchsgegnerin in ihrer Beschwerdeschrift gemachten Ausführungen ist nachfolgend nur insoweit einzugehen, als sich dies für die Ent- scheidfindung als notwendig erweist.</w:t>
      </w:r>
    </w:p>
    <w:p>
      <w:r>
        <w:rPr>
          <w:b/>
        </w:rPr>
        <w:t>E. 2</w:t>
      </w:r>
    </w:p>
    <w:p>
      <w:r>
        <w:t>a) Gemäss Art. 326 Abs. 1 ZPO sind im Beschwerdeverfahren unter an- derem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(Freiburg- haus/Afheldt, in: Sutter-Somm/Hasenböhler/Leuenberger, ZPO-Komm., Art. 326 N 3 f.).</w:t>
      </w:r>
    </w:p>
    <w:p>
      <w:r>
        <w:t>- 3 - b) Die Gesuchsgegnerin brachte im Rahmen des vorliegenden Rechtsöff- nungsverfahrens erstmals im Beschwerdeverfahren die Behauptung vor, sie hätte in zahlreichen Verfahren und Prozessen erlebt, dass eine Bank Ansprüche auf Erstattung der Retrozessionen zunächst generell einmal ablehne. Generell be- wegten sich Banken erst, wenn sich Anwälte und Gerichte mit der Materie ausei- nandersetzten. Auf erste Kontakte werde generell ablehnend reagiert. Daraus zu schliessen, dass auch alle weiteren Bemühungen erfolglos bleiben würden, decke sich nicht mit ihrer Erfahrungen, zumal im Fall der Gesuchsteller mit der D._____ [Bank] ein durchaus vernünftiger Vergleich habe abgeschlossen werden können. Erstinstanzlich sodann nicht explizit vorgebracht hat die Gesuchsgegnerin die Be- hauptung, auch die E._____ [Bank] habe zunächst behauptet, dass in diesem Fall keine Retrozessionen geflossen seien, um kurz danach einzuräumen, dass es sich um einen Betrag von höchstens Fr. 100.– handle. Dass der Gesuchsteller 2 bereits im Laufe der Geschäftsbeziehung auf die Erstattung der Kommissionen und Vergünstigungen verzichtet habe, sei ihr erst nachträglich durch ein Kurzgut- achten eines weiteren Beraters bekannt geworden. Die Gesuchsgegnerin verwies diesbezüglich jeweils auf Urk. 23/2 (Urk. 20 S. 2). Obwohl die Urk. 23/2 bereits vorinstanzlich als Urk. 15/9 im Recht lag, hat die Gesuchsgegnerin zu diesem Beweismittel erstinstanzlich einzig ausgeführt, dass aus der Kundenbeziehung mit der E._____ gemäss ihrer Einschätzung ebenfalls Ansprüche auf Erstattung der Retrozessionen resultierten (Urk. 13 S. 1 Ziff. 1). Sodann machte die Gesuchsgegnerin in ihrer Beschwerdeschrift neu gel- tend, dass die Gesuchsteller, in der Person des Gesuchstellers 2, mehrfach damit gedroht hätten, sie – die Gesuchsgegnerin – in der Öffentlichkeit zu diskreditieren und auch die mit der D._____ getroffene Vergleichsvereinbarung öffentlich zu machen, obwohl sie eine Beitrittserklärung unterschrieben hätten, die sie zum Stillschweigen verpflichtet habe (unter Hinweis auf Urk. 23/4). Diesbezüglich gäbe es zahlreiche Schriftwechsel (unter Hinweis auf Urk. 23/5 = Urk. 15/10) und Tele- fonate (am 2. April 2020, 13. Mai 2020, etc.), die jedoch nicht einzeln protokolliert worden seien. Die Ehre des Unternehmens hätte – so die Gesuchsgegnerin – Schaden genommen, wenn die Gesuchsteller ihre Drohungen wahr gemacht hät- ten. Da die Gesuchstellerin 1 aus gesundheitlichen Gründen (Autounfall) nicht</w:t>
      </w:r>
    </w:p>
    <w:p>
      <w:r>
        <w:t>- 4 - habe kontaktiert, sondern geschont werden sollen, habe sie – die Gesuchsgegne- rin – sich darauf konzentriert, mit dem Gesuchsteller 2 zu kommunizieren. Dies- bezüglich sei auch die Gesuchstellerin 1 ihr gegenüber nie in Erscheinung getre- ten (Urk. 20 S. 2 f.) c) Die vorstehend aufgeführten Vorbringen in der Beschwerdeschrift vom 17. September 2021 sind im Sinne von Art. 326 Abs. 1 ZPO als verspätet zu be- trachten und können im Beschwerdeverfahren nicht mehr berücksichtigt werden. Das Gleiche gilt für die erstmals im Beschwerdeverfahren eingereichte Ver- gleichsvereinbarung (Urk. 23/3) sowie die Bestätigung und Beitrittserklärung vom</w:t>
      </w:r>
    </w:p>
    <w:p>
      <w:r>
        <w:rPr>
          <w:b/>
        </w:rPr>
        <w:t>E. 4</w:t>
      </w:r>
    </w:p>
    <w:p>
      <w:r>
        <w:t>a) Die Gesuchsgegnerin macht sodann im Beschwerdeverfahren geltend, das Vermögen des Unternehmens hätte Schaden genommen, wenn der Gesuch- steller seine Drohungen wahr gemacht hätte. Diesen Sachverhalt lasse das Urteil völlig ausser Acht. Insofern habe sie sich bei Abschluss des Vertrags definitiv in einer gewissen Zwangs-/Notlage befunden (Urk. 20 S. 3). b) Gemäss Art. 321 Abs. 1 ZPO ist die Beschwerde bei der Rechtsmittelin- stanz schriftlich und begründet einzureichen. Begründet im Sinne von Art. 321 Abs. 1 ZPO bedeutet, dass die beschwerdeführende Partei aufzuzeigen hat, in- wiefern der angefochtene Entscheid als fehlerhaft erachtet wird. Unerlässlich ist dabei, dass die Beschwerde auf die Begründung des angefochtenen Entscheids eingeht. Die beschwerdeführende Partei soll in der Beschwerdeschrift nicht bloss die Standpunkte, die sie im vorinstanzlichen Verfahren eingenommen hat, erneut bekräftigen, sondern mit ihrer Kritik an den als fehlerhaft erachteten Erwägungen der Vorinstanz ansetzen (BGer 5A_387/2016 vom 7. September 2016, E. 3.1 m.w.H.; vgl. dazu im bundesgerichtlichen Verfahren u.a. BGer 4A_440/2020 vom 25. November 2020, E. 2.1 m.w.H.). Die Gesuchsgegnerin unterlässt es in ihrer Beschwerdeschrift, auf die Er- wägungen 3.2.2, 3.2.3 und 3.2.4 des angefochtenen Urteils konkret einzugehen</w:t>
      </w:r>
    </w:p>
    <w:p>
      <w:r>
        <w:t>- 7 - bzw. sich substantiiert mit ihnen auseinanderzusetzen. Mangels substantiierter Begründung ist daher diesbezüglich auf die Beschwerde nicht einzutreten.</w:t>
      </w:r>
    </w:p>
    <w:p>
      <w:r>
        <w:rPr>
          <w:b/>
        </w:rPr>
        <w:t>E. 5</w:t>
      </w:r>
    </w:p>
    <w:p>
      <w:r>
        <w:t>Damit erweist sich die Beschwerde als offensichtlich unbegründet. Es kann daher davon abgesehen werden, eine Beschwerdeantwort der Gesuchstel- ler oder eine Stellungnahme der Vorinstanz einzuholen (Art. 322 ZPO, Art. 324 ZPO). Die Beschwerde ist abzuweisen, soweit darauf einzutreten ist.</w:t>
      </w:r>
    </w:p>
    <w:p>
      <w:r>
        <w:rPr>
          <w:b/>
        </w:rPr>
        <w:t>E. 6</w:t>
      </w:r>
    </w:p>
    <w:p>
      <w:r>
        <w:t>Die zweitinstanzliche Spruchgebühr ist ausgangsgemäss der Gesuchs- gegnerin aufzuerlegen (Art. 106 Abs. 1 ZPO) und gestützt auf Art. 48 i.V.m. Art. 61 Abs. 1 GebV SchKG auf Fr. 500.– festzusetzen. Mangels wesentlicher Umtriebe ist den Gesuchstellern für das Beschwerdeverfahren keine Entschädi- gung zuzusprechen (vgl. Art. 95 Abs. 3 ZPO). Die Gesuchsgegnerin ihrerseits hat als unterliegende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