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RT210170 vom 30. September 2021</w:t>
      </w:r>
    </w:p>
    <w:p>
      <w:r>
        <w:t>ZH Obergericht, 2021-09-30, DE</w:t>
      </w:r>
    </w:p>
    <w:p>
      <w:r>
        <w:rPr>
          <w:b/>
        </w:rPr>
        <w:t xml:space="preserve">Quelle: </w:t>
      </w:r>
      <w:r>
        <w:t>https://mcp.opencaselaw.ch/entscheid/zh_obergericht_RT210170</w:t>
      </w:r>
    </w:p>
    <w:p>
      <w:r>
        <w:t>FR: ZH_OBERGERICHT RT210170 du 30 septembre 2021</w:t>
      </w:r>
    </w:p>
    <w:p>
      <w:r>
        <w:t>IT: ZH_OBERGERICHT RT210170 del 30 settembre 2021</w:t>
      </w:r>
    </w:p>
    <w:p>
      <w:pPr>
        <w:pStyle w:val="Heading2"/>
      </w:pPr>
      <w:r>
        <w:t>Erwägungen</w:t>
      </w:r>
    </w:p>
    <w:p>
      <w:r>
        <w:rPr>
          <w:b/>
        </w:rPr>
        <w:t>E. 2</w:t>
      </w:r>
    </w:p>
    <w:p>
      <w:r>
        <w:t>Unter Kosten- und Entschädigungsfolgen.</w:t>
      </w:r>
    </w:p>
    <w:p>
      <w:r>
        <w:rPr>
          <w:b/>
        </w:rPr>
        <w:t>E. 3</w:t>
      </w:r>
    </w:p>
    <w:p>
      <w:r>
        <w:t>Ich beantrage vollumfängliche und unentgeltliche Rechtspflege gemäss [Art. 118 ZPO]" 1.3. Die vorinstanzlichen Akten wurden beigezogen (Urk. 1-20). Da sich die Be- schwerde – wie nachfolgend aufzuzeigen sein wird – sogleich als offensichtlich unbegründet erweist, erübrigt sich das Einholen einer Beschwerdeantwort (Art. 322 Abs. 1 ZPO). 2. Die Vorinstanz erwog, aus dem Rechtsöffnungsgesuch der Gesuchstellerin (Urk. 1) sowie den beiden eingereichten Verlustscheinen (Urk. 2/4 und Urk. 2/6) gehe hervor, dass sie für die Zeit vom November 2009 bis Dezember 2010 sowie vom Mai 2011 bis Juli 2011 – insgesamt 17 Monate – bevorschusste Unterhalts- beiträge von gesamthaft Fr. 14'735.95 (inkl. Zinsen und Kosten) verlange. Dies gehe ebenfalls aus dem Zahlungsbefehl vom 8. April 2021 (Urk. 2/2) hervor. Der</w:t>
      </w:r>
    </w:p>
    <w:p>
      <w:r>
        <w:t>- 3 - Betrag von Fr. 14'735.95 ergebe sich aus den beantragten 17 Monaten à Fr. 750.– inkl. den Zinsen und Kosten gemäss den Verlustscheinen (vgl. Urk. 2/4, Urk. 2/6 sowie Urk. 14/4). Die Verlustscheine infolge Pfändung vom 21. November 2011 (Urk. 2/4) und vom 28. Februar 2013 (Urk. 2/6) bildeten in Verbindung mit dem vorliegenden – durch den Gesuchsgegner unterzeichneten und von der Vormundschaftsbehörde D._____ genehmigten, im Rahmen des Rechtsöffnungsverfahrens inhaltlich nicht mehr überprüfbaren – Unterhaltsvertrag (Urk. 14/4), dem Entscheid betreffend die Alimentenbevorschussung (Urk. 14/3) sowie der Inkassovollmacht der Kindsmutter an die Gesuchstellerin (Urk. 14/1) in ihrer Gesamtheit den Rechtsöffnungstitel für die Forderung von Fr. 14'735.95. Der Unterhaltsvertrag weise die Zahlungspflicht des Gesuchsgegners von monatlich Fr. 750.– und der Entscheid betreffend Alimentenbevorschussung die Bevor- schussung der Kinderalimente in ebendieser Höhe durch die Fürsorgebehörde B._____ aus. Die Legitimation der Gesuchstellerin zur Einreichung des Rechts- öffnungsbegehrens gehe sodann klar aus diesem Entscheid sowie der Inkasso- vollmacht hervor. Der genaue Forderungsbetrag inklusive Zinsen und Kosten er- gebe sich aus den beiden eingereichten Verlustscheinen. Die Forderung der Ge- suchstellerin basiere entsprechend auf dem Entscheid betreffend Alimentenbe- vorschussung und somit auf einem vollstreckbaren Entscheid einer schweizeri- schen Verwaltungsbehörde gemäss Art. 80 Abs. 2 Ziff. 2 SchKG. Der Gesuchs- gegner mache nicht geltend, dass die Schuld seit Erlass des Entscheids getilgt oder gestundet worden sei. Er bringe jedoch vor, familienrechtliche Unterhaltsver- pflichtungen würden gemäss Art. 128 Ziff. 1 OR nach fünf Jahren verjähren. Ge- mäss Art. 149a Abs. 1 SchKG verjähre eine durch einen Verlustschein verurkun- dete Forderung allerdings erst 20 Jahre nach der Ausstellung des Verlustscheins. Die beiden vorliegenden Verlustscheine seien am 21. November 2011 (Urk. 2/4) bzw. 28. Februar 2013 (Urk. 2/6) ausgestellt worden. Entsprechend sei die Ver- jährung der Forderungen noch nicht eingetreten, weshalb der Gesuchstellerin für Fr. 14'735.95 definitive Rechtsöffnung zu erteilen sei (Urk. 22 S. 4 ff.).</w:t>
      </w:r>
    </w:p>
    <w:p>
      <w:r>
        <w:rPr>
          <w:b/>
        </w:rPr>
        <w:t>E. 3.1</w:t>
      </w:r>
    </w:p>
    <w:p>
      <w:r>
        <w:t>Gegenstand des vorliegenden Beschwerdeverfahrens ist einzig das Disposi- tiv des angefochtenen Entscheids der Vorinstanz vom 14. Juli 2021. Soweit der Gesuchsgegner in seiner Beschwerdeschrift eine Feststellungs- und Leistungs-</w:t>
      </w:r>
    </w:p>
    <w:p>
      <w:r>
        <w:t>- 4 - klage erheben und eine Revision des Entscheids im Verfahren CB120019-E be- antragen will, ist darauf mangels Zusammenhangs zum Anfechtungsobjekt nicht einzutreten.</w:t>
      </w:r>
    </w:p>
    <w:p>
      <w:r>
        <w:rPr>
          <w:b/>
        </w:rPr>
        <w:t>E. 3.2</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w:t>
      </w:r>
    </w:p>
    <w:p>
      <w:r>
        <w:rPr>
          <w:b/>
        </w:rPr>
        <w:t>E. 3.3</w:t>
      </w:r>
    </w:p>
    <w:p>
      <w:r>
        <w:t>Diesen formellen Anforderungen genügt die vorliegende Beschwerde nicht. Soweit verständlich, bringt der Gesuchsgegner darin lediglich vor, der angefoch- tene Entscheid habe sein mittlerweile berechtigtes Misstrauen gegenüber der Vor- instanz erneut bestätigt. Er könne nicht nachvollziehen, weshalb die Gesuchstel- lerin bei der Pfändung in einem früheren Betreibungsverfahren im Jahr 2012 leer ausgegangen sei. Es sei unglaublich, dass er deswegen acht Jahre später erneut betrieben worden sei. Sein Bauchgefühl, seine Vernunft und sein Verstand, vor al- lem aber sein tiefes Rechtsempfinden hätten ihm stets gesagt, dass damals ir- gendetwas schief und nicht gesetzeskonform gelaufen sei. Offensichtlich habe das Betreibungsamt die Gesuchstellerin nicht gemäss Art. 111 Abs. 3 SchKG in- formiert, dass sie an der privilegierten Anschlusspfändung teilnehmen könne, wodurch er und seine Tochter geschädigt worden seien (Urk. 21 S. 2 f.). Mit die- sen Vorbringen setzt sich der Gesuchsgegner allerdings nicht einmal ansatzweise mit den Erwägungen der Vorinstanz im angefochtenen Entscheid auseinander. Insbesondere zeigt er nicht auf, dass die Vorinstanz zu Unrecht davon ausging,</w:t>
      </w:r>
    </w:p>
    <w:p>
      <w:r>
        <w:t>- 5 - der mit Entscheid der Vormundschaftsbehörde D._____ vom 19. Mai 1998 ge- nehmigte Unterhaltsvertrag vom 27. April 1998 könne im Rahmen des Rechtsöff- nungsverfahrens inhaltlich nicht mehr überprüft werden. Ebenso wenig legt er dar, weshalb die Vorinstanz die von ihm geltend gemachte Verjährung der Unterhalts- forderung zu Unrecht verworfen habe. Damit genügt der Gesuchsgegner seiner Begründungsobliegenheit (vgl. oben Ziff. 3.2) nicht, weshalb auf die Beschwerde nicht einzutreten ist.</w:t>
      </w:r>
    </w:p>
    <w:p>
      <w:r>
        <w:rPr>
          <w:b/>
        </w:rPr>
        <w:t>E. 4</w:t>
      </w:r>
    </w:p>
    <w:p>
      <w:r>
        <w:t>Gemäss Art. 117 ZPO hat eine Partei Anspruch auf unentgeltliche Rechts- pflege, wenn sie nicht über die erforderlichen Mittel verfügt und ihr Rechtsbegeh- ren nicht aussichtslos erscheint. Die Beschwerde war indes, wie oben aufgezeigt, von vornherein aussichtslos, weshalb dem Gesuchsgegner die von ihm beantrag- te unentgeltliche Rechtspflege auch für das zweitinstanzliche Verfahren (vgl. Urk. 1 S. 1) nicht gewährt werden kann. 5.1. Die Entscheidgebühr für das Beschwerdeverfahren ist in Anwendung von Art. 48 i.V.m. Art. 61 Abs. 1 GebV SchKG auf Fr. 500.– festzusetzen. Die Ge- richtskosten sind ausgangsgemäss dem Gesuchsgegner aufzuerlegen (Art. 106 Abs. 1 ZPO). 5.2. Für das Beschwerdeverfahren sind keine Parteientschädigungen zuzuspre- chen, dem Gesuchsgegner zufolge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