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RT210105 vom 24. September 2021</w:t>
      </w:r>
    </w:p>
    <w:p>
      <w:r>
        <w:t>ZH Obergericht, 2021-09-24, DE</w:t>
      </w:r>
    </w:p>
    <w:p>
      <w:r>
        <w:rPr>
          <w:b/>
        </w:rPr>
        <w:t xml:space="preserve">Quelle: </w:t>
      </w:r>
      <w:r>
        <w:t>https://mcp.opencaselaw.ch/entscheid/zh_obergericht_RT210105</w:t>
      </w:r>
    </w:p>
    <w:p>
      <w:r>
        <w:t>FR: ZH_OBERGERICHT RT210105 du 24 septembre 2021</w:t>
      </w:r>
    </w:p>
    <w:p>
      <w:r>
        <w:t>IT: ZH_OBERGERICHT RT210105 del 24 settembre 2021</w:t>
      </w:r>
    </w:p>
    <w:p>
      <w:pPr>
        <w:pStyle w:val="Heading2"/>
      </w:pPr>
      <w:r>
        <w:t>Erwägungen</w:t>
      </w:r>
    </w:p>
    <w:p>
      <w:r>
        <w:rPr>
          <w:b/>
        </w:rPr>
        <w:t>E. 2</w:t>
      </w:r>
    </w:p>
    <w:p>
      <w:r>
        <w:t>Die Vorinstanz erwog, die Gesuchsteller stützten ihr Rechtsöffnungsgesuch auf einen Mietvertrag vom 8. November 2016 betreffend ein Zimmer im Erdge- schoss der Liegenschaft E._____-Strasse 1 in … F._____ [Ortschaft], gemäss welchem der Gesuchsgegner sich zur Bezahlung eines monatlichen Mietzinses in der Höhe von Fr. 750.– verpflichtet habe (Urk. 4/1). Der Mietvertrag sei zwar durch die G._____ AG als Vermieterin abgeschlossen worden (Urk. 4/1 S. 1). Die Gesuchsteller hätten jedoch durch Einreichung des Kaufvertrages belegt, dass sie am 20. Dezember 2019 die Liegenschaft E._____-Strasse 1 in F._____ von der G._____ AG erworben hätten (Urk. 10). Da beim Kauf einer Liegenschaft die Mietverhältnisse grundsätzlich übernommen würden (Art. 261 Abs. 1 OR), seien nun die Gesuchsteller die Vermieter der fraglichen Liegenschaft. Es sei unbestrit- ten geblieben, dass die Mietzinse für die Monate Januar und Februar 2020 nicht geleistet worden seien. Auch sei unbestritten geblieben, dass das Mietverhältnis erst am 23. Januar 2020 auf den 28. Februar 2020 gekündigt worden sei (vgl.</w:t>
      </w:r>
    </w:p>
    <w:p>
      <w:r>
        <w:t>- 3 - Urk. 4/4). Damit sei für die Mietzinse in der Höhe von je Fr. 750.– für die Monate Januar und Februar 2020, jeweils nebst Zins zu 5% ab 1. Januar 2020 bzw. 1. Februar 2020, provisorische Rechtsöffnung zu erteilen. Für die darüber hinaus geltend gemachten Forderungen liege kein Rechtsöffnungstitel vor, weshalb das Rechtsöffnungsgesuch im Mehrbetrag abzuweisen sei (Urk. 21 S. 3 ff.).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vorliegende Beschwerde nicht. Darin bringt der Gesuchsgegner bloss vor, er habe Rechtsvorschlag erhoben, da er die Gesuchsteller und deren Vertretung nicht kenne. Ausserdem habe er sei- nem (früheren) Vermieter alle bis zu seinem Wegzug am 3. Dezember 2020 (ge- meint wohl: 2019) angefallenen Forderungen bezahlt (Urk. 20). Hingegen äussert sich der Gesuchsgegner mit keinem Wort zur zutreffenden Erwägung der Vorin- stanz, das Mietverhältnis sei nach Art. 261 Abs. 1 OR mit dem Kauf des Miet- objekts durch die Gesuchsteller auf diese übergegangen (vgl. den öffentlich beur- kundeten Kaufvertrag vom 20. Dezember 2019 [Urk. 10]). Ebenso wenig zeigt der Gesuchsgegner auf, weshalb die Vorinstanz zu Unrecht davon ausging, das Miet- verhältnis habe erst per Ende Februar 2020 geendet, da es erst am 23. Januar 2020 gekündigt worden sei. Damit genügt der Gesuchsgegner seiner Begrün-</w:t>
      </w:r>
    </w:p>
    <w:p>
      <w:r>
        <w:t>- 4 - dungsobliegenheit (vgl. oben Ziff. 3.1) nicht, weshalb auf die Beschwerde nicht einzutreten ist. 4.1. Die Entscheidgebühr für das Beschwerdeverfahren ist in Anwendung von Art. 48 i.V.m. Art. 61 Abs. 1 GebV SchKG auf Fr. 300.– festzusetzen. Die Ge- richtskosten sind ausgangsgemäss dem Gesuchsgegner aufzuerlegen (Art. 106 Abs. 1 ZPO). 4.2. Für das Beschwerdeverfahren sind keine Parteientschädigungen zuzuspre- chen, dem Gesuchsgegner zufolge seines Unterliegens (Art. 106 Abs. 1 ZPO), den Gesuchstellern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