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RT210080 vom 1. Juni 2021</w:t>
      </w:r>
    </w:p>
    <w:p>
      <w:r>
        <w:t>ZH Obergericht, 2021-06-01, DE</w:t>
      </w:r>
    </w:p>
    <w:p>
      <w:r>
        <w:rPr>
          <w:b/>
        </w:rPr>
        <w:t xml:space="preserve">Quelle: </w:t>
      </w:r>
      <w:r>
        <w:t>https://mcp.opencaselaw.ch/entscheid/zh_obergericht_RT210080</w:t>
      </w:r>
    </w:p>
    <w:p>
      <w:r>
        <w:t>FR: ZH_OBERGERICHT RT210080 du 1 juin 2021</w:t>
      </w:r>
    </w:p>
    <w:p>
      <w:r>
        <w:t>IT: ZH_OBERGERICHT RT210080 del 1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14. April 2021 reichte der Gesuchsteller beim Bezirksgericht Uster (Vorinstanz) ein Rechtsöffnungsgesuch für Fr. 170.-- nebst Zins ein (Vi- Urk. 1). Mit Verfügung vom 22. April 2021 setzte die Vorinstanz dem Gesuchstel- ler eine Frist von 14 Tagen zur Leistung eines Gerichtskostenvorschusses von Fr. 150.-- an (Vi-Urk. 4 = Urk. 2). b) Gegen diese ihm am 6. Mai 2021 zugestellte (Vi-Urk. 5) Verfügung er- hob der Gesuchsgegner am 17. Mai 2021 fristgerecht Beschwerde und stellte den Beschwerdeantrag (Urk. 1 S. 1): "Die Rechtsöffnung ist abzuweisen." c) Die vorinstanzlichen Akten wurden beigezogen. Da sich die Beschwer- de sogleich als offensichtlich unbegründet bzw. unzulässig erweist, kann auf wei- tere Prozesshandlungen verzichtet werden (vgl. Art. 322 Abs. 1 ZPO).</w:t>
      </w:r>
    </w:p>
    <w:p>
      <w:r>
        <w:rPr>
          <w:b/>
        </w:rPr>
        <w:t>E. 2</w:t>
      </w:r>
    </w:p>
    <w:p>
      <w:r>
        <w:t>a) Der Gesuchsgegner äussert in seiner Beschwerdeschrift unter der Überschrift "Institutionelle Behördenkriminalität in der Schweiz" (Urk. 1 S. 1) seinen Unmut über verschiedene Behörden. Er gibt sodann u.a. folgende "Be- sondere Bedingungen" bekannt (Urk. 1 S. 5): "1. Annahme von Rechtsbegehren a. [...] b. Sollte das Zürcher Obergericht Rechtsbegehren jeder Art zur Wei- terbearbeitung annehmen, so willigen alle nachstehenden Funktionä- re ein, mir für jedes Rechtsbegehren je eine Pönale zu bezahlen. • Sie beträgt für die Präsidenten und Vizepräsidenten je 100 Kilo- gramm Gold. • für die Richter/-innen je 50 Kilogramm Gold und • für die Ersatzrichter/-innen je 25 Kilogramm Gold c. Sollte das Zürcher Obergericht die angenommenen Rechtsbegehren entscheiden, so verpflichten sich alle in Position 1b genannten Funk- tionäre, mir für jedes Rechtsbegehren die gleiche Pönale wie in Posi- tion 1b nochmals zu bezahlen." b) Das Ergreifen von Rechtsmitteln wie auch andere Prozesshandlungen sind grundsätzlich bedingungsfeindlich. Auf ein – wie vorliegend – bedingtes</w:t>
      </w:r>
    </w:p>
    <w:p>
      <w:r>
        <w:t>- 3 - Rechtsmittel ist somit nicht einzutreten (ZK ZPO-Reetz, Vorbem. zu den Art. 308- 318 N 49 m.H.; ZR 116/2017 Nr. 77 S. 260). c) Im Übrigen wäre auf die Beschwerde auch deshalb nicht einzutreten, weil der Gesuchsgegner durch die angefochtene Verfügung keinen Nachteil erlei- det (darin wurde einzig dem Gesuchsteller Frist zur Leistung eines Kostenvor- schusses angesetzt) und ihm damit kein schutzwürdiges Interesse an einer Be- schwerde dagegen zukommt (Art. 59 Abs. 1 und Abs. 2 lit. a ZPO).</w:t>
      </w:r>
    </w:p>
    <w:p>
      <w:r>
        <w:rPr>
          <w:b/>
        </w:rPr>
        <w:t>E. 3</w:t>
      </w:r>
    </w:p>
    <w:p>
      <w:r>
        <w:t>a) Der Streitwert für das Beschwerdeverfahren beträgt Fr. 170.--. Auch für einen Nichteintretensentscheid entstehen Gerichtskosten. Die zweitin- stanzliche Entscheidgebühr ist in Anwendung von Art. 48 i.V.m. Art. 61 Abs. 1 GebV SchKG auf Fr. 100.-- festzusetzen. b) Die Gerichtskosten des Beschwerdeverfahrens sind ausgangsgemäss dem Gesuchsgegner aufzuerlegen (Art. 106 Abs. 1 ZPO). c) Für das Beschwerdeverfahren sind keine Parteientschädigungen zuzu- sprechen, dem Gesuchsgegner zufolge seines Unterliegens, dem Gesuchsteller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