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RT210078 vom 27. Mai 2021</w:t>
      </w:r>
    </w:p>
    <w:p>
      <w:r>
        <w:t>ZH Obergericht, 2021-05-27, DE</w:t>
      </w:r>
    </w:p>
    <w:p>
      <w:r>
        <w:rPr>
          <w:b/>
        </w:rPr>
        <w:t xml:space="preserve">Quelle: </w:t>
      </w:r>
      <w:r>
        <w:t>https://mcp.opencaselaw.ch/entscheid/zh_obergericht_RT210078</w:t>
      </w:r>
    </w:p>
    <w:p>
      <w:r>
        <w:t>FR: ZH_OBERGERICHT RT210078 du 27 mai 2021</w:t>
      </w:r>
    </w:p>
    <w:p>
      <w:r>
        <w:t>IT: ZH_OBERGERICHT RT210078 del 27 maggio 2021</w:t>
      </w:r>
    </w:p>
    <w:p>
      <w:pPr>
        <w:pStyle w:val="Heading2"/>
      </w:pPr>
      <w:r>
        <w:t>Erwägungen</w:t>
      </w:r>
    </w:p>
    <w:p>
      <w:r>
        <w:rPr>
          <w:b/>
        </w:rPr>
        <w:t>E. 1</w:t>
      </w:r>
    </w:p>
    <w:p>
      <w:r>
        <w:t>a) Mit Urteil vom 5. Mai 2021 erteilte das Bezirksgericht Meilen (Vor- instanz) den Gesuchstellern in der Betreibung Nr. … des Betreibungsamts Die- poldsau SG (Zahlungsbefehl vom 22. Januar 2021) – für Staats- und Gemeinde- steuern des Steuerjahres 2015 – definitive Rechtsöffnung für Fr. 5'572.55 nebst 4.5% Zins seit 22. Januar 2021, Fr. 138.90 Zinsen bis 21. Januar 2021 und für die Betreibungskosten sowie für Kosten und Entschädigung gemäss diesem Ent- scheid (Urk. 12 = Urk. 15). b) Hiergegen erhob die Gesuchsgegnerin am 14. Mai 2021 (Postaufgabe) fristgerecht Beschwerde und stellte die Beschwerdeanträge (Urk. 14 S. 1): "1. Das Urteil vom 5. Mai 2021 b des Bezirksgerichts Meilen sei aufzuhe- ben.</w:t>
      </w:r>
    </w:p>
    <w:p>
      <w:r>
        <w:rPr>
          <w:b/>
        </w:rPr>
        <w:t>E. 2</w:t>
      </w:r>
    </w:p>
    <w:p>
      <w:r>
        <w:t>Die Steuerhoheit des Kantons St. Gallen über die Firma A._____ sei bis zum Zeitpunkt der Anmeldung im Handelsregister (20.1.2021) des Kan- ton Zürich 2021 anzuerkennen und die angebliche Steuerpflicht der Fir- ma A._____ im Kanton Zürich sei bis dahin als nichtig zu erklären.</w:t>
      </w:r>
    </w:p>
    <w:p>
      <w:r>
        <w:rPr>
          <w:b/>
        </w:rPr>
        <w:t>E. 3</w:t>
      </w:r>
    </w:p>
    <w:p>
      <w:r>
        <w:t>Eventuelle Steueransprüche des Kantons Zürich an A._____ seien im Rahmen einer Steuerausscheidung mit dem Kanton St. Gallen zu re- geln.</w:t>
      </w:r>
    </w:p>
    <w:p>
      <w:r>
        <w:rPr>
          <w:b/>
        </w:rPr>
        <w:t>E. 4</w:t>
      </w:r>
    </w:p>
    <w:p>
      <w:r>
        <w:t>Für das Beschwerdeverfahren werden keine Parteientschädigungen zuge- sprochen.</w:t>
      </w:r>
    </w:p>
    <w:p>
      <w:r>
        <w:rPr>
          <w:b/>
        </w:rPr>
        <w:t>E. 5</w:t>
      </w:r>
    </w:p>
    <w:p>
      <w:r>
        <w:t>Schriftliche Mitteilung an die Parteien, an die Gesuchsteller unter Beilage der Doppel von Urk. 14 und 16/2-10, sowie an die Vorinstanz, je gegen Empfangsschein.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5'572.55. Die Beschwerde an das Bundesgericht hat keine aufschiebende Wirkung. Hinsichtlich des Fristenlaufs gelten die Art. 44 ff. BGG. Zürich, 27. Mai 2021 Obergericht des Kantons Zürich I. Zivilkammer Der Gerichtsschreiber: lic. iur. F. Rieke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