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RT210072 vom 1. Juni 2021</w:t>
      </w:r>
    </w:p>
    <w:p>
      <w:r>
        <w:t>ZH Obergericht, 2021-06-01, DE</w:t>
      </w:r>
    </w:p>
    <w:p>
      <w:r>
        <w:rPr>
          <w:b/>
        </w:rPr>
        <w:t xml:space="preserve">Quelle: </w:t>
      </w:r>
      <w:r>
        <w:t>https://mcp.opencaselaw.ch/entscheid/zh_obergericht_RT210072</w:t>
      </w:r>
    </w:p>
    <w:p>
      <w:r>
        <w:t>FR: ZH_OBERGERICHT RT210072 du 1 juin 2021</w:t>
      </w:r>
    </w:p>
    <w:p>
      <w:r>
        <w:t>IT: ZH_OBERGERICHT RT210072 del 1 giugno 2021</w:t>
      </w:r>
    </w:p>
    <w:p>
      <w:pPr>
        <w:pStyle w:val="Heading2"/>
      </w:pPr>
      <w:r>
        <w:t>Erwägungen</w:t>
      </w:r>
    </w:p>
    <w:p>
      <w:r>
        <w:rPr>
          <w:b/>
        </w:rPr>
        <w:t>E. 2</w:t>
      </w:r>
    </w:p>
    <w:p>
      <w:r>
        <w:t>Die Vorinstanz erwog, die Gesuchstellerin habe das Urteil des Bundesstraf- gerichts im Verfahren SK.2017.19 vom 19. Dezember 2017 (Urk. 5/1) als Rechts- öffnungstitel ins Recht gelegt. Darin sei der Gesuchsgegner zur Zahlung einer Er- satzforderung im Sinne von Art. 71 Abs. 1 StGB zugunsten der Gesuchstellerin im Betrag von Fr. 810'159.– sowie zur Zahlung von Prozesskosten von Fr. 33'000.– verpflichtet worden (Urk. 5/1 Dispositiv-Ziffern 4 und 5). Aufgrund der dem Ge- suchsgegner im ebendiesen Verfahren zugesprochenen Entschädigung von Fr. 16'100.– (Urk. 5/1 Dispositiv-Ziffer 6) resultiere die in Betreibung gesetzte Kos- tendifferenz von Fr. 16'900.–. Soweit der Gesuchsgegner unter Berufung auf sein Revisionsgesuch an das Bundesgericht – welches Revisionsgesuch gegen wel- ches Urteil genau führe der Gesuchsgegner nicht weiter aus – und auf sein Be- gehren um Erläuterung und Berichtigung vom 25. April 2021 (Urk. 10/6) sinnge- mäss die Vollstreckbarkeit des als Rechtsöffnungstitel dienenden Urteils in Frage</w:t>
      </w:r>
    </w:p>
    <w:p>
      <w:r>
        <w:t>- 3 - stelle (vgl. Urk. 9 S. 2), sei darauf hinzuweisen, dass das Urteil des Bundesstraf- gerichts vom 19. Dezember 2017 gemäss Bestätigung vom 10. Mai 2019 voll- streckbar (Urk. 5/2) und gemäss Stempelverfügung vom 9. Mai 2019 rechtskräftig sei (Urk. 5/1 S. 1). Im Übrigen hätten weder eine Revision an das Bundesgericht noch ein Begehren um Erläuterung und Berichtigung an das Bundesstrafgericht aufschiebende Wirkung. Der vorliegende definitive Rechtsöffnungstitel sei somit in Rechtskraft erwachsen. Sämtliche Einwendungen des Gesuchsgegners zielten darauf, die materielle Richtigkeit des Urteils in Frage zu stellen. Die materielle Überprüfung einer rechtskräftigen, vollstreckbaren Verfügung sei dem Rechtsöff- nungsgericht allerdings verwehrt. Damit verfüge die Gesuchstellerin über einen gültigen Rechtsöffnungstitel i.S.v. Art. 80 Abs. 1 SchKG, welchen der Gesuchs- gegner mit seinen Einwendungen nicht zu entkräften vermöge. Der Gesuchstelle- rin sei daher – mit Ausnahme der Verzugszinsen auf dem Betrag von Fr. 16'900.–, welche nicht in Betreibung gesetzt worden seien – antragsgemäss definitive Rechtsöffnung zu erteilen (Urk. 15 S. 2 ff.).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 des Gesuchsgeg- ners nicht. Darin beanstandet er im Wesentlichen erneut, beim Urteil SK.2017.19 des Bundesstrafgerichts vom 19. Dezember 2017 handle es sich offensichtlich um</w:t>
      </w:r>
    </w:p>
    <w:p>
      <w:r>
        <w:t>- 4 - ein willkürliches Fehlurteil und abgesehen davon sei die Höhe der festgesetzten Ersatzforderung nicht nachvollziehbar (Urk. 14 S. 1 f.). Hingegen setzt er sich nicht einmal ansatzweise mit dem zutreffenden Argument der Vorinstanz ausei- nander, das in Rechtskraft erwachsene Urteil des Bundesstrafgerichts könne im Rahmen des vorliegenden Rechtsöffnungsverfahrens inhaltlich nicht mehr über- prüft werden (vgl. dazu BGE 143 III 564 E. 4.3.1 = Pra 107/2018 Nr. 132; BGE 142 III 78 E. 3.1). Ebenso wenig setzt sich der Gesuchsgegner mit der Erwägung der Vorinstanz auseinander, wonach dem von ihm erwähnten Revisionsgesuch an das Bundesgericht sowie dem Erläuterungs- und Berichtigungsbegehren keine aufschiebende Wirkung zukämen. Inwiefern dennoch Anlass bzw. eine Pflicht der Gesuchstellerin bestanden hätte, mit der Einleitung der Betreibung und/oder des Rechtsöffnungsverfahrens zuzuwarten, ist weder hinreichend dargetan noch er- sichtlich. Weiter ist nicht nachvollziehbar, was der Gesuchsgegner mit dem Ver- weis auf das parallele Rechtsöffnungsverfahren EB210008-G oder das zugrunde- liegende Betreibungsverfahren betreffend seine Partnerin (vgl. Urk. 14 S. 2 dritter Abschnitt) im Hinblick auf das vorliegende Verfahren zu seinen Gunsten ableiten möchte, weshalb nicht weiter darauf einzugehen ist. Soweit der Gesuchsgegner schliesslich eine Verletzung des rechtlichen Gehörs durch die Vorinstanz rügen wollte (vgl. Urk. 14 S. 1 erster Abschnitt), ist eine solche weder hinreichend darge- tan noch ersichtlich, zumal die Vorinstanz ihm Gelegenheit zu einer Stellungnah- me zum Rechtsöffnungsgesuch gab (vgl. Urk. 7 und Urk. 9) und sich im angefoch- tenen Entscheid mit den von ihm vorgebrachten Argumenten auseinandersetzte (vgl. Urk. 15 S. 4 f. E. 4.2). Nach dem Gesagten genügt der Gesuchsgegner sei- ner Begründungsobliegenheit (vgl. dazu oben Ziff. 3.1) nicht, weshalb auf die Be- schwerde nicht einzutreten ist. 4.1. Die Entscheidgebühr für das Beschwerdeverfahren ist in Anwendung von Art. 48 i.V.m. Art. 61 Abs. 1 GebV SchKG auf Fr. 1'000.– festzusetzen. Die Ge- richtskosten sind ausgangsgemäss dem Gesuchsgegner aufzuerlegen (Art. 106 Abs. 1 ZPO).</w:t>
      </w:r>
    </w:p>
    <w:p>
      <w:r>
        <w:t>- 5 - 4.2. Für das Beschwerdeverfahren sind keine Parteientschädigungen zuzuspre- chen, dem Gesuchsgegner zufolge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