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RT200192 vom 12. Januar 2021</w:t>
      </w:r>
    </w:p>
    <w:p>
      <w:r>
        <w:t>ZH Obergericht, 2021-01-12, DE</w:t>
      </w:r>
    </w:p>
    <w:p>
      <w:r>
        <w:rPr>
          <w:b/>
        </w:rPr>
        <w:t xml:space="preserve">Quelle: </w:t>
      </w:r>
      <w:r>
        <w:t>https://mcp.opencaselaw.ch/entscheid/zh_obergericht_RT200192</w:t>
      </w:r>
    </w:p>
    <w:p>
      <w:r>
        <w:t>FR: ZH_OBERGERICHT RT200192 du 12 janvier 2021</w:t>
      </w:r>
    </w:p>
    <w:p>
      <w:r>
        <w:t>IT: ZH_OBERGERICHT RT200192 del 12 gennaio 2021</w:t>
      </w:r>
    </w:p>
    <w:p>
      <w:pPr>
        <w:pStyle w:val="Heading2"/>
      </w:pPr>
      <w:r>
        <w:t>Erwägungen</w:t>
      </w:r>
    </w:p>
    <w:p>
      <w:r>
        <w:rPr>
          <w:b/>
        </w:rPr>
        <w:t>E. 2</w:t>
      </w:r>
    </w:p>
    <w:p>
      <w:r>
        <w:t>Das angefochtene Urteil wurde der Gesuchsgegnerin am 20. November 2020 zugestellt (Urk. 15/1). Die Frist zur Erhebung der Beschwerde beträgt zehn Tage (Art. 321 Abs. 2 ZPO in Verbindung mit Art. 251 lit. a ZPO; vgl. dazu auch die korrekte Rechtsmittelbelehrung im angefochtenen Urteil [Urk. 17 S. 6 f. Dispo- sitiv-Ziff. 7]). Die Beschwerdefrist der Gesuchsgegnerin lief demzufolge am 30. November 2020 ab (Art. 142 ZPO). Die Beschwerde datiert zwar von diesem Datum. Massgebend für die Fristwahrung ist aber, dass die Eingabe spätestens am letzten Tag der Frist beim Gericht eingereicht oder zu dessen Handen der Schweizerischen Post übergeben wird (Art. 143 Abs. 1 ZPO). Vorliegend wurde die Beschwerde erst am 1. Dezember 2020 und damit nach Ablauf der Be- schwerdefrist der Post übergeben (vgl. der an Urk. 16 angeheftete Briefumschlag)</w:t>
      </w:r>
    </w:p>
    <w:p>
      <w:r>
        <w:t>- 3 - und erfolgte somit verspätet. Infolgedessen ist auf die Beschwerde der Gesuchs- gegnerin nicht einzutreten. 3.1. Die Entscheidgebühr für das Beschwerdeverfahren ist in Anwendung von Art. 48 i.V.m. Art. 61 Abs. 1 GebV SchKG auf Fr. 500.– festzusetzen. Die Ge- richtskosten sind ausgangsgemäss der Gesuchsgegnerin aufzuerlegen (Art. 106 Abs. 1 ZPO). 3.2. Für das Beschwerdeverfahren sind keine Parteientschädigungen zuzuspre- chen, der Gesuchsgegnerin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