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RT200188 vom 8. Dezember 2020</w:t>
      </w:r>
    </w:p>
    <w:p>
      <w:r>
        <w:t>ZH Obergericht, 2020-12-08, DE</w:t>
      </w:r>
    </w:p>
    <w:p>
      <w:r>
        <w:rPr>
          <w:b/>
        </w:rPr>
        <w:t xml:space="preserve">Quelle: </w:t>
      </w:r>
      <w:r>
        <w:t>https://mcp.opencaselaw.ch/entscheid/zh_obergericht_RT200188</w:t>
      </w:r>
    </w:p>
    <w:p>
      <w:r>
        <w:t>FR: ZH_OBERGERICHT RT200188 du 8 décembre 2020</w:t>
      </w:r>
    </w:p>
    <w:p>
      <w:r>
        <w:t>IT: ZH_OBERGERICHT RT200188 del 8 dicembre 2020</w:t>
      </w:r>
    </w:p>
    <w:p>
      <w:pPr>
        <w:pStyle w:val="Heading2"/>
      </w:pPr>
      <w:r>
        <w:t>Erwägungen</w:t>
      </w:r>
    </w:p>
    <w:p>
      <w:r>
        <w:rPr>
          <w:b/>
        </w:rPr>
        <w:t>E. 1</w:t>
      </w:r>
    </w:p>
    <w:p>
      <w:r>
        <w:t>a) Mit (unbegründetem) Urteil vom 8. Oktober 2020 erteilte das Be- zirksgericht Pfäffikon (Vorinstanz) dem Gesuchsteller in der Betreibung Nr. 1 des Betreibungsamts Mittleres Tösstal (Zahlungsbefehl vom 4. Juni 2020) definitive Rechtsöffnung für Fr. 3'600.--; die Kostenfolgen wurden zu Lasten der Gesuchs- gegnerin geregelt (Urk. 16). b) Am 22. November 2020 (Postaufgabe 23. November 2020) erhob die Gesuchsgegnerin Beschwerde und stellte den Beschwerdeantrag (Urk. 21): "Ich lege Beschwerde ein gegen das Bezirksgericht Pfäffikon, Einzelrichter- amt, wegen Rechtsverzögerung und beantrage, dass das Bezirksgericht Pfäf- fikon angewiesen wird, mir ohne weiteren Verzug ein begründetes Urteil zu- zustellen." c) Die vorinstanzlichen Akten wurden beigezogen. Da sich die Beschwer- de sogleich als unbegründet erweist, kann auf weitere Prozesshandlungen ver- zichtet werden (vgl. Art. 322 Abs. 1 ZPO).</w:t>
      </w:r>
    </w:p>
    <w:p>
      <w:r>
        <w:rPr>
          <w:b/>
        </w:rPr>
        <w:t>E. 2</w:t>
      </w:r>
    </w:p>
    <w:p>
      <w:r>
        <w:t>a) Mit der Beschwerde kann Rechtsverzögerung geltend gemacht werden (vgl. Art. 319 lit. c ZPO). Darunter ist die Rechtsverweigerung in formeller Hinsicht zu verstehen, d.h. dass ein (anfechtbarer) Entscheid vom dazu berufe- nen Gericht nicht gefällt wird, obwohl er gefällt werden könnte. Dabei ist der Ge- staltungsspielraum des Gerichts, dem die Verfahrensleitung zusteht, zu berück- sichtigen, weshalb eine eigentliche Pflichtverletzung und damit in diesem Sinne eine Rechtsverzögerung nur in klaren Fällen angenommen werden sollte (Frei- burghaus/Afheldt, in: Sutter-Somm et al., ZPO Komm., Art. 320 N 7 und Art. 319 N 17). Wenn schliesslich eine Rechtsverzögerung bejaht wird, kann die Be- schwerdeinstanz weder einen vorinstanzlichen Entscheid aufheben – einen sol- chen gibt es ja gerade nicht –, noch kann sie anstelle der Vorinstanz in der Sache selbst entscheiden; hierfür fehlt ihr die Zuständigkeit. Die Beschwerdeinstanz kann einzig der Vorinstanz die Anweisung erteilen, den zu Unrecht verzögerten Entscheid zu erlassen, und sie kann der Vorinstanz hierfür eine Frist ansetzen (Sutter-Somm et al., a.a.O., Art. 327 N 15 ff.).</w:t>
      </w:r>
    </w:p>
    <w:p>
      <w:r>
        <w:t>- 3 - b) Das unbegründete Urteil vom 8. Oktober 2020 wurde der Gesuchsgeg- nerin am 16. Oktober 2020 zugestellt (Urk. 17/1). Sie hat gleichentags eine Be- gründung verlangt (Urk. 18). Dass das begründete Urteil in der Folge bis zur Ein- reichung der vorliegenden Beschwerde am 23. November 2020, mithin einen gu- ten Monat später, noch nicht zugestellt wurde, stellt auch unter Berücksichtigung, dass das Rechtsöffnungsverfahren ein besonders rasches Verfahren ist, noch keine Rechtsverzögerung dar. Eine Verzögerung in der Ausfertigung des begrün- deten Urteils dürfte dagegen aus dem Umstand, dass die Vorinstanz infolge der vorliegenden Beschwerde nicht über ihre Akten verfügen kann, entstehen. c) Die Beschwerde erweist sich damit als unbegründet. Sie ist demge- mäss abzuweisen.</w:t>
      </w:r>
    </w:p>
    <w:p>
      <w:r>
        <w:rPr>
          <w:b/>
        </w:rPr>
        <w:t>E. 3</w:t>
      </w:r>
    </w:p>
    <w:p>
      <w:r>
        <w:t>Die unterliegende Gesuchsgegnerin trägt die Kosten des Beschwerde- verfahrens (Art. 106 Abs. 1 ZPO). Parteientschädigungen sind keine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