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RT200187 vom 11. Januar 2021</w:t>
      </w:r>
    </w:p>
    <w:p>
      <w:r>
        <w:t>ZH Obergericht, 2021-01-11, DE</w:t>
      </w:r>
    </w:p>
    <w:p>
      <w:r>
        <w:rPr>
          <w:b/>
        </w:rPr>
        <w:t xml:space="preserve">Quelle: </w:t>
      </w:r>
      <w:r>
        <w:t>https://mcp.opencaselaw.ch/entscheid/zh_obergericht_RT200187</w:t>
      </w:r>
    </w:p>
    <w:p>
      <w:r>
        <w:t>FR: ZH_OBERGERICHT RT200187 du 11 janvier 2021</w:t>
      </w:r>
    </w:p>
    <w:p>
      <w:r>
        <w:t>IT: ZH_OBERGERICHT RT200187 del 11 gennaio 2021</w:t>
      </w:r>
    </w:p>
    <w:p>
      <w:pPr>
        <w:pStyle w:val="Heading2"/>
      </w:pPr>
      <w:r>
        <w:t>Erwägungen</w:t>
      </w:r>
    </w:p>
    <w:p>
      <w:r>
        <w:rPr>
          <w:b/>
        </w:rPr>
        <w:t>E. 1</w:t>
      </w:r>
    </w:p>
    <w:p>
      <w:r>
        <w:t>Der Klägerin wird in den nachfolgenden Betreibungen des Betreibungs- amts Horgen definitive Rechtsöffnung erteilt: a) Betreibung Nr. 1, Zahlungsbefehl vom 11. August 2020, für Fr. 5'033.– nebst Zins zu 5 % seit 1. Juli 2020. b) Betreibung Nr. 2, Zahlungsbefehl vom 2. Juni 2020, für Fr. 5'033.– nebst Zins zu 5 % seit 1. Juni 2020. Von den Zahlungen an diese Summe werden sämtliche Betreibungs- kosten vorab bezogen.</w:t>
      </w:r>
    </w:p>
    <w:p>
      <w:r>
        <w:rPr>
          <w:b/>
        </w:rPr>
        <w:t>E. 2</w:t>
      </w:r>
    </w:p>
    <w:p>
      <w:r>
        <w:t>Der Beklagte wird verpflichtet, der Klägerin unter Anrechnung an ihre güterrechtlichen Ansprüche einen Prozesskostenbeitrag von pauschal Fr. 2'000.– (Betrag enthält MwSt.) zu bezahlen.</w:t>
      </w:r>
    </w:p>
    <w:p>
      <w:r>
        <w:rPr>
          <w:b/>
        </w:rPr>
        <w:t>E. 3</w:t>
      </w:r>
    </w:p>
    <w:p>
      <w:r>
        <w:t>Die Spruchgebühr wird festgesetzt auf Fr. 300.– und dem Beklagten auferlegt.</w:t>
      </w:r>
    </w:p>
    <w:p>
      <w:r>
        <w:rPr>
          <w:b/>
        </w:rPr>
        <w:t>E. 4</w:t>
      </w:r>
    </w:p>
    <w:p>
      <w:r>
        <w:t>Es werden keine weiteren Entschädigungen zugesprochen.</w:t>
      </w:r>
    </w:p>
    <w:p>
      <w:r>
        <w:rPr>
          <w:b/>
        </w:rPr>
        <w:t>E. 5</w:t>
      </w:r>
    </w:p>
    <w:p>
      <w:r>
        <w:t>[Schriftliche Mitteilungen]</w:t>
      </w:r>
    </w:p>
    <w:p>
      <w:r>
        <w:rPr>
          <w:b/>
        </w:rPr>
        <w:t>E. 6</w:t>
      </w:r>
    </w:p>
    <w:p>
      <w:r>
        <w:t>Eine Beschwerde gegen diesen Entscheid an das Bundesgericht ist innert 30 Tagen von der Zustellung an beim Schweizerischen Bundesgericht,</w:t>
      </w:r>
    </w:p>
    <w:p>
      <w:r>
        <w:t>- 6 - 1000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2'000.--. Die Beschwerde an das Bundesgericht hat keine aufschiebende Wirkung. Hinsichtlich des Fristenlaufs gelten die Art. 44 ff. BGG. Zürich, 11. Januar 2021 Obergericht des Kantons Zürich I. Zivilkammer Der Gerichtsschreiber: lic. iur. F. Rieke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