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RT200183 vom 24. November 2020</w:t>
      </w:r>
    </w:p>
    <w:p>
      <w:r>
        <w:t>ZH Obergericht, 2020-11-24, DE</w:t>
      </w:r>
    </w:p>
    <w:p>
      <w:r>
        <w:rPr>
          <w:b/>
        </w:rPr>
        <w:t xml:space="preserve">Quelle: </w:t>
      </w:r>
      <w:r>
        <w:t>https://mcp.opencaselaw.ch/entscheid/zh_obergericht_RT200183</w:t>
      </w:r>
    </w:p>
    <w:p>
      <w:r>
        <w:t>FR: ZH_OBERGERICHT RT200183 du 24 novembre 2020</w:t>
      </w:r>
    </w:p>
    <w:p>
      <w:r>
        <w:t>IT: ZH_OBERGERICHT RT200183 del 24 novembre 2020</w:t>
      </w:r>
    </w:p>
    <w:p>
      <w:pPr>
        <w:pStyle w:val="Heading2"/>
      </w:pPr>
      <w:r>
        <w:t>Volltext</w:t>
      </w:r>
    </w:p>
    <w:p>
      <w:r>
        <w:t>Obergericht des Kantons Zürich I. Zivilkammer Geschäfts-Nr.: RT200183-O/U Mitwirkend: Oberrichterin Dr. D. Scherrer, Vorsitzende, Oberrichter lic. iur. M. Spahn und Oberrichter Dr. M. Kriech sowie Gerichtsschreiber lic. iur. F. Rieke Beschluss vom 24. November 2020 in Sachen A._____, Gesuchsgegner und Beschwerdeführer gegen Staat Zürich und Stadt B._____, Gesuchsteller und Beschwerdegegner vertreten durch Steueramt der Stadt B._____ betreffend Rechtsöffnung (Kostenvorschuss) Beschwerde gegen eine Verfügung des Einzelgerichts im summarischen Verfahren am Bezirksgericht Hinwil vom 10. November 2020 (EB200219-E)</w:t>
      </w:r>
    </w:p>
    <w:p>
      <w:r>
        <w:t>- 2 - Nach Einsicht in die Verfügung des Bezirksgerichtes Hinwil (Vorinstanz) vom 10. November 2020, mit welcher den Gesuchstellern eine Frist zur Leistung eines Gerichtskostenvorschusses von Fr. 500.-- angesetzt wurde (Urk. 2), nach Einsicht in die fristgerecht dagegen erhobene Beschwerde des Gesuchs- gegners vom 20. November 2020 (zur Post gegeben am 21. November 2020), mit welcher er geltend macht, dass auf dem Formular des Betreibungsamtes nichts davon stehe, dass eine Rechtsöffnung kostenpflichtig sein sollte, weshalb das Verhalten der Vorinstanz willkürlich und rechtswidrig sei, und in welcher er darauf hinweist, dass der Verfügung kein Einzahlungsschein oder andere Hilfsmittel zur Bezahlung beigelegen hätten (Urk. 1), da eine Partei ein Rechtsmittel gegen einen gerichtlichen Entscheid nur dann er- heben kann, wenn sie durch den angefochtenen Entscheid einen Nachteil erlei- det, denn ohne einen solchen Nachteil besteht kein schutzwürdiges Interesse an der Anfechtung des Entscheids (vgl. Art. 59 Abs. 2 lit. a ZPO), da der Gesuchsgegner durch die angefochtene Verfügung keinen Nachteil erlei- det, denn er wird durch diese zu nichts verpflichtet (nicht ihm, sondern den Ge- suchstellern wurde Frist zur Leistung eines Gerichtskostenvorschusses angesetzt, weshalb er auch keine Hilfsmittel zur Bezahlung benötigt), da daher auf die Beschwerde nicht eingetreten werden kann (Art. 59 Abs. 1 ZPO), da umständehalber auf die Erhebung von Gerichtskosten für das Beschwerdever- fahren verzichtet werden kann, da für das Beschwerdeverfahren keine Parteientschädigungen zuzusprechen sind (Art. 106 Abs. 1, Art. 95 Abs. 3 ZPO), wird beschlossen: 1. Auf die Beschwerde wird nicht eingetreten. 2. Für das Beschwerdeverfahren werden keine Gerichtskosten erhoben.</w:t>
      </w:r>
    </w:p>
    <w:p>
      <w:r>
        <w:t>- 3 - 3. Für das Beschwerdeverfahren werden keine Parteientschädigungen zuge- sprochen. 4. Schriftliche Mitteilung an die Parteien, an die Gesuchsteller unter Beilage ei- ner Kopie von Urk. 1, und an die Vorinstanz, je gegen Empfangsschein.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 mögensrechtliche Angelegenheit. Der Streitwert beträgt Fr. 37'696.25. Die Beschwerde an das Bundesgericht hat keine aufschiebende Wirkung. Hinsichtlich des Fristenlaufs gelten die Art. 44 ff. BGG. Zürich, 24. November 2020 Obergericht des Kantons Zürich I. Zivilkammer Der Gerichtsschreiber: lic. iur. F. Rieke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