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RT200141 vom 12. November 2020</w:t>
      </w:r>
    </w:p>
    <w:p>
      <w:r>
        <w:t>ZH Obergericht, 2020-11-12, DE</w:t>
      </w:r>
    </w:p>
    <w:p>
      <w:r>
        <w:rPr>
          <w:b/>
        </w:rPr>
        <w:t xml:space="preserve">Quelle: </w:t>
      </w:r>
      <w:r>
        <w:t>https://mcp.opencaselaw.ch/entscheid/zh_obergericht_RT200141</w:t>
      </w:r>
    </w:p>
    <w:p>
      <w:r>
        <w:t>FR: ZH_OBERGERICHT RT200141 du 12 novembre 2020</w:t>
      </w:r>
    </w:p>
    <w:p>
      <w:r>
        <w:t>IT: ZH_OBERGERICHT RT200141 del 12 novembre 2020</w:t>
      </w:r>
    </w:p>
    <w:p>
      <w:pPr>
        <w:pStyle w:val="Heading2"/>
      </w:pPr>
      <w:r>
        <w:t>Erwägungen</w:t>
      </w:r>
    </w:p>
    <w:p>
      <w:r>
        <w:rPr>
          <w:b/>
        </w:rPr>
        <w:t>E. 8</w:t>
      </w:r>
    </w:p>
    <w:p>
      <w:r>
        <w:t>Januar 2020 sowie für das Pfandrecht (Urk. 19 S. 5 f. = Urk. 22 S. 5 f.). 1.2. Gegen dieses Urteil erhoben die Gesuchsgegner mit Eingabe vom 17. Sep- tember 2020 (Datum Poststempel: 18. September 2020) rechtzeitig (vgl. Urk. 20b und Urk. 20c) Beschwerde mit dem sinngemässen Antrag auf Abweisung des Rechtsöffnungsbegehrens (Urk. 21 S. 1 f.). 1.3. Die vorinstanzlichen Akten wurden beigezogen (Urk. 1-20). Da sich die Be- schwerde – wie nachfolgend aufzuzeigen sein wird – sogleich als offensichtlich unbegründet erweist, erübrigt sich das Einholen einer Beschwerdeantwort (Art. 322 Abs. 1 ZPO). 2. Gegenstand des Beschwerdeverfahrens ist einzig das angefochtene Urteil betreffend Rechtsöffnung. Soweit mit der Beschwerde beantragt wird, die Ge- suchstellerin sei zur Gewährung einer neuen Hypothek zu verpflichten (Urk. 21 S. 3), kann darauf nicht eingetreten werden. 3.1.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w:t>
      </w:r>
    </w:p>
    <w:p>
      <w:r>
        <w:t>- 3 -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m.Hinw. auf BGE 138 III 374 E. 4.3.1). Was in der Beschwerde nicht oder nicht in einer den gesetzlichen Be- gründungsanforderungen genügenden Weise beanstandet wird, braucht von der Rechtsmittelinstanz nicht überprüft zu werden. Das gilt zumindest insoweit, als ein Mangel nicht geradezu ins Auge springt. 3.2. Diesen Anforderungen vermag die Beschwerde der Gesuchsgegner nicht zu genügen, denn sie setzen sich nicht mit dem angefochtenen Entscheid auseinan- der, sondern bringen lediglich vor, die Gesuchstellerin sei wegen des zu Unrecht gegen sie eingeleiteten Strafverfahrens nicht berechtigt gewesen, den Zins für die Festhypothek einseitig auf 4% zu erhöhen (Urk. 21 S. 2 f.). Damit nehmen die Gesuchsgegner keinen Bezug auf die Ausführungen der Vorinstanz, wonach un- bestritten geblieben sei, dass sie seit Ende 2017 ihren vertraglichen Pflichten un- ter dem Hypothekardarlehensvertrag nicht mehr nachgekommen seien, weshalb die Schuldbriefforderung und das Hypothekardarlehen mit Schreiben der Gesuch- stellerin vom 12. August 2019 gekündigt und damit fällig gestellt worden seien (Urk. 22 S. 3 f. E. 2.3 und 3.1.2). Ebenso wenig setzen sie sich mit dem Argument der Vorinstanz auseinander, in Bezug auf das Pfandrecht stelle der Auszug aus dem Grundbuch vom 17. März 2020 (Urk. 10/1) einen Rechtsöffnungstitel dar und bezüglich der Forderung stelle die Vereinbarung vom 19. Juni 2012 (Urk. 3/8) ei- ne Schuldanerkennung dar, indem die Gesuchsgegner darin ausdrücklich ihre persönliche Schuldpflicht aus dem der Gesuchstellerin übertragenen Schuldbrief in der Höhe der Kapitalforderung nebst den laufenden und drei verfallenen Jah- reszinsen unterschriftlich anerkannt und sich einverstanden erklärt hätten, dass die Gesuchstellerin die Schuldbriefforderung anstelle von Forderungen aus Ver- trägen geltend machen könne (Urk. 22 S. 4 f. E. 3.2). Da die Gesuchsgegner sich somit nicht hinreichend mit den vorinstanzlichen Erwägungen auseinandersetzen, genügen sie ihrer Begründungspflicht (vgl. oben Ziff. 3.1) offenkundig nicht. Infol- gedessen ist auf die Beschwerde nicht einzutreten.</w:t>
      </w:r>
    </w:p>
    <w:p>
      <w:r>
        <w:t>- 4 - 4.1. Die Entscheidgebühr für das Beschwerdeverfahren ist in Anwendung von Art. 48 i.V.m. Art. 61 Abs. 1 GebV SchKG auf Fr. 1'000.– festzusetzen. Die Ge- richtskosten sind ausgangsgemäss den Gesuchsgegnern je zur Hälfte, unter solidarischer Haftung für den gesamten Betrag, aufzuerlegen (Art. 106 Abs. 1 und 3 ZPO). 4.2. Für das Beschwerdeverfahren sind keine Parteientschädigungen zuzuspre- chen, den Gesuchsgegnern zufolge ihres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