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RT200135 vom 17. Dezember 2020</w:t>
      </w:r>
    </w:p>
    <w:p>
      <w:r>
        <w:t>ZH Obergericht, 2020-12-17, DE</w:t>
      </w:r>
    </w:p>
    <w:p>
      <w:r>
        <w:rPr>
          <w:b/>
        </w:rPr>
        <w:t xml:space="preserve">Quelle: </w:t>
      </w:r>
      <w:r>
        <w:t>https://mcp.opencaselaw.ch/entscheid/zh_obergericht_RT200135</w:t>
      </w:r>
    </w:p>
    <w:p>
      <w:r>
        <w:t>FR: ZH_OBERGERICHT RT200135 du 17 décembre 2020</w:t>
      </w:r>
    </w:p>
    <w:p>
      <w:r>
        <w:t>IT: ZH_OBERGERICHT RT200135 del 17 dicembre 2020</w:t>
      </w:r>
    </w:p>
    <w:p>
      <w:pPr>
        <w:pStyle w:val="Heading2"/>
      </w:pPr>
      <w:r>
        <w:t>Erwägungen</w:t>
      </w:r>
    </w:p>
    <w:p>
      <w:r>
        <w:rPr>
          <w:b/>
        </w:rPr>
        <w:t>E. 1</w:t>
      </w:r>
    </w:p>
    <w:p>
      <w:r>
        <w:t>a) Mit Urteil vom 15. Juni 2020 erteilte die Vorinstanz der Gesuchstellerin und Beschwerdegegnerin (fortan Gesuchstellerin) in der Betreibung Nr. 1 des Be- treibungsamtes Rafzerfeld (Zahlungsbefehl vom 27. August 2019) gestützt auf den vollstreckbaren Vollstreckungsbescheid des Amtsgerichts C._____ vom 25. Juni 2018 (Urk. 4/2) definitive Rechtsöffnung für Fr. 3'251.75 nebst Zinsen zu 10 % seit 21. August 2017 bis zum 26. August 2019, für Fr. 82.20 an Verfahrens- kosten, für Fr. 82.40 an Mahn- und Inkassokosten und für die Betreibungskosten sowie für Kosten und Entschädigung gemäss den Dispositivziffern 2 bis 4 des Ur- teils. Im Mehrbetrag wurde das Begehren abgewiesen (Urk. 25 = Urk. 28). b) Innert Beschwerdefrist erhob der Gesuchsgegner und Beschwerdeführer (fortan Gesuchsgegner) mit Eingabe vom 8. September 2020 gegen das obge- nannte Urteil Widerspruch mit dem Antrag, die Klage sei abzuweisen. Er führte dazu aus, dass die detaillierte Begründung dem Gericht kurzfristig von der ihn vertretenden Anwaltskanzlei übersandt werde (Urk. 27). Bis zum heutigen Tag sind hierorts keine weiteren Eingaben von Seiten des Gesuchsgegners eingegan- gen. Die Beschwerdefrist ist am 10. September 2020 abgelaufen (Art. 321 Abs. 2 ZPO; Urk. 26). c) Die vorinstanzlichen Akten wurden beigezogen (vgl. Urk. 1-26).</w:t>
      </w:r>
    </w:p>
    <w:p>
      <w:r>
        <w:rPr>
          <w:b/>
        </w:rPr>
        <w:t>E. 2</w:t>
      </w:r>
    </w:p>
    <w:p>
      <w:r>
        <w:t>Die Schweizerische Zivilprozessordnung (fortan ZPO) sieht im 2. Teil, "9. Titel: Rechtsmittel" den "Widerspruch" gegen erstinstanzliche Entscheide nicht vor (vgl. Art. 308 ff. ZPO), weshalb vorliegend in Anwendung von Art. 319 lit. a ZPO i.V.m. Art. 309 lit. b Ziff. 3 ZPO ein Beschwerdeverfahren gemäss Art. 319 ff. ZPO eröffnet wurde (vgl. dazu auch Urk. 28 S. 11 Dispositivziffer 6).</w:t>
      </w:r>
    </w:p>
    <w:p>
      <w:r>
        <w:rPr>
          <w:b/>
        </w:rPr>
        <w:t>E. 3</w:t>
      </w:r>
    </w:p>
    <w:p>
      <w:r>
        <w:t>Bei der Frist zur Einreichung der Beschwerde (Art. 321 Abs. 2 ZPO i.V.m. Art. 251 lit. a ZPO) handelt es sich um eine gesetzliche Frist. Gesetzliche Fristen sind solche, deren Dauer das Gesetz unabänderlich festlegt, worunter insbeson- dere die Rechtsmittelfristen der ZPO fallen (KUKO ZPO Hoffmann-Nowotny, Art. 144 N 2 m.w.H.). Gesetzliche Fristen können nicht erstreckt werden (Art. 144 Abs. 1 ZPO). Die inhaltliche Nachbesserung der Begründung ist nach Ablauf der</w:t>
      </w:r>
    </w:p>
    <w:p>
      <w:r>
        <w:t>- 3 - Beschwerdefrist unzulässig (BGer 5A_736/2016 vom 30. März 2017, E. 4.3 m.w.H.; BGer 5D_215/2015 vom 16. März 2016, E. 3.1 m.w.H.), weshalb ergän- zende Eingaben nach Ablauf der Beschwerdefrist unbeachtlich zu bleiben haben.</w:t>
      </w:r>
    </w:p>
    <w:p>
      <w:r>
        <w:rPr>
          <w:b/>
        </w:rPr>
        <w:t>E. 4</w:t>
      </w:r>
    </w:p>
    <w:p>
      <w:r>
        <w:t>a) Mit der Beschwerde können unrichtige Rechtsanwendung und offen- sichtlich unrichtige Feststellung des Sachverhaltes geltend gemacht werden (Art. 320 ZPO). Gemäss Art. 321 Abs. 1 ZPO ist die Beschwerde bei der Rechts- mittelinstanz schriftlich und begründet einzureichen. Begründet im Sinne von Art. 321 Abs. 1 ZPO bedeutet, dass der Beschwerdeführer aufzuzeigen hat, in- wiefern der angefochtene Entscheid als fehlerhaft erachtet wird. Die Begründung muss hinreichend genau und eindeutig sein, um von der Rechtsmittelinstanz ohne weiteres verstanden werden zu können. Dies setzt voraus, dass der Beschwerde- führer im Einzelnen die erstinstanzlichen Erwägungen bezeichnet, die er anficht, und die Aktenstücke nennt, auf denen seine Kritik beruht (BGer 5A_387/2016 vom 7. September 2016, E. 3.1 m.w.H.). Der Beschwerdeführer hat dabei im Ein- zelnen – in der Beschwerde selbst – darzulegen, an welchen Mängeln (unrichtige Rechtsanwendung, offensichtlich unrichtige Feststellung des Sachverhaltes) der angefochtene Entscheid seiner Ansicht nach leidet (Freiburghaus/Afheldt, in: Sutter-Somm/Hasenböhler/Leuenberger, ZPO Komm., Art. 321 N 15). Erfüllt die Beschwerde grundlegende Inhaltsanforderungen nicht, fehlt es an einer Eintretensvoraussetzung und die Rechtsmittelinstanz hat darauf nicht einzu- treten. b) Die Beschwerdeschrift des Gesuchsgegners enthält keine Begründung, weshalb auf seine Beschwerde nicht einzutreten ist.</w:t>
      </w:r>
    </w:p>
    <w:p>
      <w:r>
        <w:rPr>
          <w:b/>
        </w:rPr>
        <w:t>E. 5</w:t>
      </w:r>
    </w:p>
    <w:p>
      <w:r>
        <w:t>Die Prozesskosten sind der unterliegenden Partei aufzuerlegen. Bei Nichteintreten gilt die klagende Partei bzw. die Partei, welche das Rechtsmittel erhoben hat, als unterliegend (vgl. Art. 106 Abs. 1 ZPO), weshalb dem Gesuchs- gegner die Gerichtskosten des Beschwerdeverfahrens aufzuerlegen sind. Die Spruchgebühr für das Beschwerdeverfahren ist in Anwendung von Art. 48 i.V.m. Art. 61 Abs. 1 GebV SchKG auf Fr. 300.– festzusetzen. Mangels wesentlicher Umtriebe ist der Gesuchstellerin für das Beschwerdeverfahren keine Entschädi-</w:t>
      </w:r>
    </w:p>
    <w:p>
      <w:r>
        <w:t>- 4 - gung zuzusprechen (Art. 95 Abs. 3 ZPO). Der Gesuchsgegner seinerseits hat als unterliegende Partei keinen Anspruch auf Entschädigung (vgl. Art. 106 Abs. 1 ZPO), wobei er im Beschwerdeverfahren ohnehin keinen diesbezüglichen Antrag stellte (Urk. 27).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