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RT200130 vom 16. November 2020</w:t>
      </w:r>
    </w:p>
    <w:p>
      <w:r>
        <w:t>ZH Obergericht, 2020-11-16, DE</w:t>
      </w:r>
    </w:p>
    <w:p>
      <w:r>
        <w:rPr>
          <w:b/>
        </w:rPr>
        <w:t xml:space="preserve">Quelle: </w:t>
      </w:r>
      <w:r>
        <w:t>https://mcp.opencaselaw.ch/entscheid/zh_obergericht_RT200130</w:t>
      </w:r>
    </w:p>
    <w:p>
      <w:r>
        <w:t>FR: ZH_OBERGERICHT RT200130 du 16 novembre 2020</w:t>
      </w:r>
    </w:p>
    <w:p>
      <w:r>
        <w:t>IT: ZH_OBERGERICHT RT200130 del 16 novembre 2020</w:t>
      </w:r>
    </w:p>
    <w:p>
      <w:pPr>
        <w:pStyle w:val="Heading2"/>
      </w:pPr>
      <w:r>
        <w:t>Erwägungen</w:t>
      </w:r>
    </w:p>
    <w:p>
      <w:r>
        <w:rPr>
          <w:b/>
        </w:rPr>
        <w:t>E. 2</w:t>
      </w:r>
    </w:p>
    <w:p>
      <w:r>
        <w:t>Mit der Beschwerde können unrichtige Rechtsanwendung und offensichtlich unrichtige Feststellung des Sachverhalts geltend gemacht werden (Art. 320 ZPO). Es gilt das Rügeprinzip (ZK ZPO-Freiburghaus/Afheldt, Art. 321 N 15), d.h. die beschwerdeführende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(Noven) sind im Beschwerdeverfahren ausgeschlossen (Art. 326 Abs. 1 ZPO).</w:t>
      </w:r>
    </w:p>
    <w:p>
      <w:r>
        <w:rPr>
          <w:b/>
        </w:rPr>
        <w:t>E. 3</w:t>
      </w:r>
    </w:p>
    <w:p>
      <w:r>
        <w:t>Die Vorinstanz erwog, die in Betreibung gesetzte Forderung von Fr. 24'000.– stütze sich auf ein Scheidungsurteil vom 16. März 2015, gemäss welchem der Gesuchsgegner zur Zahlung von monatlichen Unterhaltsbeiträgen von Fr. 2'000.– an die Gesuchstellerin verpflichtet worden sei (Urk. 7). Die Rechtskraft dieses Ur- teils sei mittels Stempel bescheinigt. Es liege daher ein rechtskräftiger und voll-</w:t>
      </w:r>
    </w:p>
    <w:p>
      <w:r>
        <w:t>- 3 - streckbarer Entscheid im Sinne von Art. 80 Abs. 1 SchKG vor, welcher in Bezug auf die der Gesuchstellerin zustehenden Unterhaltsbeiträge für die Monate Januar 2019 bis Dezember 2019 und damit im Umfang von Fr. 24'000.– zur definitiven Rechtsöffnung berechtige. Der Gesuchsgegner habe keine Einreden im Sinne von Art. 81 Abs. 1 SchKG vorgebracht. Demnach sei die beantragte Rechtsöff- nung zu erteilen (Urk. 21 S. 3 f.). 4.1. Der Gesuchsgegner macht in seiner Beschwerde zusammengefasst gel- tend, die Leistung dieser Unterhaltsbeiträge sei im jetzigen Zustand unzumutbar, da sich die Situation im Vergleich zu derjenigen vor einem Jahr eher verschlech- tert habe. Mittlerweile sei der Kontakt zu beiden Kindern wegen des missbräuchli- chen Verhaltens der Gesuchstellerin ganz abgebrochen. Es sei ihm nicht zumut- bar, dass er ein System finanziell unterstützen müsse, welches ihn in seiner Per- son erniedrige und ablehne. Ausserdem sei pervers, wenn der Staat Geld eintrei- be für die auf seine Kosten im Luxus lebende Exfrau, die ihn mobbe. Es geschä- hen Menschenrechts- und Verfassungsverletzungen und keiner der involvierten Richter kümmere sich darum (Urk. 20 S. 1 ff.). 4.2. Der Gesuchsgegner bringt die in seinen Ausführungen enthaltenen Tatsa- chenbehauptungen erstmals im Beschwerdeverfahren vor. Sie können aufgrund des im Beschwerdeverfahren geltenden Novenverbots (vgl. oben Ziff. 2) vorlie- gend nicht berücksichtigt werden. Abgesehen davon setzt sich der Gesuchsgeg- ner in seiner Beschwerdeschrift nicht einmal ansatzweise mit der Begründung des angefochtenen Entscheids auseinander und genügt damit seiner Begründungs- pflicht (vgl. oben Ziff. 2) nicht. Das vorliegende Verfahren auf definitive Rechtsöff- nung ist ein reines Vollstreckungsverfahren; in diesem Verfahren geht es nur noch um die Vollstreckung einer Forderung, über welche bereits rechtskräftig entschie- den wurde. Die vorliegend umstrittenen Unterhaltsbeiträge wurden im Schei- dungsurteil vom 16. März 2015 (bzw. in der damit genehmigten Vereinbarung) festgesetzt. Dieses Urteil ist rechtskräftig und vollstreckbar, es darf im Rechtsöff- nungsverfahren weder überprüft noch abgeändert werden. Nach dem Gesagten erweist sich die Beschwerde als offensichtlich unbegründet, weshalb sie abzuwei- sen ist.</w:t>
      </w:r>
    </w:p>
    <w:p>
      <w:r>
        <w:t>- 4 - 5.1. Die Entscheidgebühr für das Beschwerdeverfahren ist in Anwendung von Art. 48 i.V.m. Art. 61 Abs. 1 GebV SchKG auf Fr. 500.– festzusetzen. Die Ge- richtskosten sind ausgangsgemäss dem Gesuchsgegner aufzuerlegen (Art. 106 Abs. 1 ZPO). 5.2. Für das Beschwerdeverfahren sind keine Parteientschädigungen zuzuspre- 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