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RT200112 vom 10. November 2020</w:t>
      </w:r>
    </w:p>
    <w:p>
      <w:r>
        <w:t>ZH Obergericht, 2020-11-10, DE</w:t>
      </w:r>
    </w:p>
    <w:p>
      <w:r>
        <w:rPr>
          <w:b/>
        </w:rPr>
        <w:t xml:space="preserve">Quelle: </w:t>
      </w:r>
      <w:r>
        <w:t>https://mcp.opencaselaw.ch/entscheid/zh_obergericht_RT200112</w:t>
      </w:r>
    </w:p>
    <w:p>
      <w:r>
        <w:t>FR: ZH_OBERGERICHT RT200112 du 10 novembre 2020</w:t>
      </w:r>
    </w:p>
    <w:p>
      <w:r>
        <w:t>IT: ZH_OBERGERICHT RT200112 del 10 novembre 2020</w:t>
      </w:r>
    </w:p>
    <w:p>
      <w:pPr>
        <w:pStyle w:val="Heading2"/>
      </w:pPr>
      <w:r>
        <w:t>Erwägungen</w:t>
      </w:r>
    </w:p>
    <w:p>
      <w:r>
        <w:rPr>
          <w:b/>
        </w:rPr>
        <w:t>E. 1</w:t>
      </w:r>
    </w:p>
    <w:p>
      <w:r>
        <w:t>Mit Urteil vom 17. Juli 2020 erteilte die Vorinstanz der Beschwerdegegnerin in der Betreibung Nr. ... des Betreibungsamtes Opfikon (Zahlungsbefehl vom</w:t>
      </w:r>
    </w:p>
    <w:p>
      <w:r>
        <w:t>- 2 - 24. September 2019) die provisorische Rechtsöffnung für Fr. 249'747.40 nebst Zinsen zu 5 % seit 1. April 2019 sowie Kosten und Entschädigung gemäss Dispo- sitiv-Ziff. 2 bis 4 des angefochtenen Entscheids (Urk. 31 S. 13 f.).</w:t>
      </w:r>
    </w:p>
    <w:p>
      <w:r>
        <w:rPr>
          <w:b/>
        </w:rPr>
        <w:t>E. 2</w:t>
      </w:r>
    </w:p>
    <w:p>
      <w:r>
        <w:t>Gegen dieses Urteil erhob die Beschwerdeführerin mit Eingabe vom 14. August 2020 Beschwerde mit folgenden Anträgen (Urk. 30 S. 2): "1. Es sei das Urteil vom 17. Juli 2020 des Bezirksgerichts Bülach aufzu- heben und das Rechtsöffnungsgesuch der Beschwerdegegnerin vom</w:t>
      </w:r>
    </w:p>
    <w:p>
      <w:r>
        <w:rPr>
          <w:b/>
        </w:rPr>
        <w:t>E. 4</w:t>
      </w:r>
    </w:p>
    <w:p>
      <w:r>
        <w:t>Mit Schreiben vom 27. Oktober 2020 (eingegangen am 9. November 2020) teilt die Beschwerdeführerin der hiesigen Kammer mit, dass die Parteien einen Vergleich erzielen konnten und ersucht um Abschreibung des Verfahrens zufolge Vergleichs. Weiter gibt sie an, die Parteien hätten sich darauf geeinigt, die Ent- schädigung wettzuschlagen und die Gerichtskosten je zur Hälfte zu übernehmen (Urk. 42). Diese Ausführungen werden von der Beschwerdegegnerin unterschrift- lich bestätigt (vgl. Urk. 42 S. 2).</w:t>
      </w:r>
    </w:p>
    <w:p>
      <w:r>
        <w:rPr>
          <w:b/>
        </w:rPr>
        <w:t>E. 5</w:t>
      </w:r>
    </w:p>
    <w:p>
      <w:r>
        <w:t>Demzufolge ist das Verfahren als durch Vergleich erledigt abzuschreiben, unter vereinbarungsgemässer Regelung der Kosten- und Entschädigungsfolgen.</w:t>
      </w:r>
    </w:p>
    <w:p>
      <w:r>
        <w:rPr>
          <w:b/>
        </w:rPr>
        <w:t>E. 6</w:t>
      </w:r>
    </w:p>
    <w:p>
      <w:r>
        <w:t>Für das Beschwerdeverfahren beträgt der Streitwert Fr. 249'747.40. Die zweitinstanzliche Spruchgebühr ist in Anwendung von Art. 48 GebV SchKG in</w:t>
      </w:r>
    </w:p>
    <w:p>
      <w:r>
        <w:t>- 3 - Verbindung mit Art. 61 Abs. 1 GebV SchKG auf Fr. 1'000.– festzusetzen, die erst- instanzliche Gebühr ist zu bestätigen.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