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RT200089 vom 24. Juli 2020</w:t>
      </w:r>
    </w:p>
    <w:p>
      <w:r>
        <w:t>ZH Obergericht, 2020-07-24, DE</w:t>
      </w:r>
    </w:p>
    <w:p>
      <w:r>
        <w:rPr>
          <w:b/>
        </w:rPr>
        <w:t xml:space="preserve">Quelle: </w:t>
      </w:r>
      <w:r>
        <w:t>https://mcp.opencaselaw.ch/entscheid/zh_obergericht_RT200089</w:t>
      </w:r>
    </w:p>
    <w:p>
      <w:r>
        <w:t>FR: ZH_OBERGERICHT RT200089 du 24 juillet 2020</w:t>
      </w:r>
    </w:p>
    <w:p>
      <w:r>
        <w:t>IT: ZH_OBERGERICHT RT200089 del 24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7. Juli 2020 ersuchte die Gesuchstellerin und Be- schwerdegegnerin (fortan Gesuchstellerin) die Vorinstanz um Erteilung der provi- sorischen Rechtsöffnung in der Betreibung Nr. … des Betreibungsamtes Küs- nacht-Zollikon-Zumikon, Zahlungsbefehl vom 19. Mai 2020, für Fr. 16'447.– (Urk. 3/1-2). Die Vorinstanz ordnete mit Verfügung vom 10. Juli 2020 das schriftli- che Verfahren an und setzte der Gesuchstellerin eine Frist von 7 Tagen zur Leis- tung eines Gerichtskostenvorschusses von Fr. 300.– an (Urk. 3/6 = Urk. 2).</w:t>
      </w:r>
    </w:p>
    <w:p>
      <w:r>
        <w:rPr>
          <w:b/>
        </w:rPr>
        <w:t>E. 2</w:t>
      </w:r>
    </w:p>
    <w:p>
      <w:r>
        <w:t>Dagegen erhob der Gesuchsgegner und Beschwerdeführer (fortan Ge- suchsgegner) mit Eingabe vom 17. Juli 2020 Beschwerde (Poststempel vom 18. Juli 2020, eingegangen am 20. Juli 2020; Urk. 1).</w:t>
      </w:r>
    </w:p>
    <w:p>
      <w:r>
        <w:rPr>
          <w:b/>
        </w:rPr>
        <w:t>E. 3</w:t>
      </w:r>
    </w:p>
    <w:p>
      <w:r>
        <w:t>a) Das Gericht prüft von Amtes wegen, ob die Prozessvorausset- zungen erfüllt sind (Art. 60 ZPO). Hierzu gehört u.a. die Frage, ob die Partei, wel- che ein Rechtsmittel einlegt, durch den angefochtenen Entscheid beschwert ist (Art. 59 Abs. 2 lit. a ZPO), das heisst, ob sie einen Nachteil erleidet. b) Der Gesuchsgegner wurde mit der angefochtenen Verfügung vom 10. Juli 2020 zu nichts verpflichtet. Vielmehr wurde die Gesuchstellerin zur Leis- tung eines Kostenvorschusses verpflichtet (Urk. 2 Dispositivziffer 2). Der Ge- suchsgegner ist durch die Kostenauflage an die Gesuchstellerin nicht beschwert bzw. erleidet dadurch keinen Nachteil. Ein drohender, nicht leicht wiedergutzuma- chender Nachteil (Art. 319 lit. b Ziff. 2 ZPO) ist durch die Anordnung des schriftli- chen Verfahrens (Urk. 2 Dispositivziffer 1) nicht dargetan. Auf die Beschwerde ist daher nicht einzutreten.</w:t>
      </w:r>
    </w:p>
    <w:p>
      <w:r>
        <w:rPr>
          <w:b/>
        </w:rPr>
        <w:t>E. 4</w:t>
      </w:r>
    </w:p>
    <w:p>
      <w:r>
        <w:t>Damit erweist sich die Beschwerde des Gesuchsgegners als offen- sichtlich unzulässig, weshalb auf das Einholen einer Beschwerdeantwort der Ge- suchstellerin verzichtet werden kann (Art. 322 Abs. 1 ZPO).</w:t>
      </w:r>
    </w:p>
    <w:p>
      <w:r>
        <w:rPr>
          <w:b/>
        </w:rPr>
        <w:t>E. 5</w:t>
      </w:r>
    </w:p>
    <w:p>
      <w:r>
        <w:t>Umständehalber ist für das Beschwerdeverfahren auf die Erhebung von Gerichtskosten zu verzichten. Sodann sind für das Beschwerdeverfahren kei-</w:t>
      </w:r>
    </w:p>
    <w:p>
      <w:r>
        <w:t>- 3 - ne Parteientschädigungen zuzusprechen, dem Gesuchsgegner infolge seines Un- terliegens, der Gesuchstellerin mangels erheblicher Umtriebe.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