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RT200059 vom 25. Juni 2020</w:t>
      </w:r>
    </w:p>
    <w:p>
      <w:r>
        <w:t>ZH Obergericht, 2020-06-25, DE</w:t>
      </w:r>
    </w:p>
    <w:p>
      <w:r>
        <w:rPr>
          <w:b/>
        </w:rPr>
        <w:t xml:space="preserve">Quelle: </w:t>
      </w:r>
      <w:r>
        <w:t>https://mcp.opencaselaw.ch/entscheid/zh_obergericht_RT200059</w:t>
      </w:r>
    </w:p>
    <w:p>
      <w:r>
        <w:t>FR: ZH_OBERGERICHT RT200059 du 25 juin 2020</w:t>
      </w:r>
    </w:p>
    <w:p>
      <w:r>
        <w:t>IT: ZH_OBERGERICHT RT200059 del 25 giugno 2020</w:t>
      </w:r>
    </w:p>
    <w:p>
      <w:pPr>
        <w:pStyle w:val="Heading2"/>
      </w:pPr>
      <w:r>
        <w:t>Erwägungen</w:t>
      </w:r>
    </w:p>
    <w:p>
      <w:r>
        <w:rPr>
          <w:b/>
        </w:rPr>
        <w:t>E. 1</w:t>
      </w:r>
    </w:p>
    <w:p>
      <w:r>
        <w:t>a) Mit Verfügung vom 29. April 2020 schrieb das Bezirksgericht Zü- rich (Vorinstanz) das Rechtsöffnungsverfahren in der Betreibung Nr. 1 des Betrei- bungsamts Zürich 9 (Zahlungsbefehl vom 8. Mai 2019) infolge Rückzugs des Ge- suchs ab; die Kosten wurden der Gesuchstellerin auferlegt und eine Parteient- schädigung wurde nicht zugesprochen (Urk. 33 = Urk. 39). b) Hiergegen erhob der Gesuchsgegner am 18. Mai 2020 fristgerecht (vgl. Urk. 37) Beschwerde und stellte die Beschwerdeanträge (Urk. 38 S. 2): "1. Ziff. 2 der Verfügung vom 29. April 2020 des Bezirksgericht Zürich sei aufzuheben und dem Beschwerdeführer sei eine Parteientschädigung in Höhe von CHF 1'500.00 von der Beschwerdegegnerin zu bezahlen.</w:t>
      </w:r>
    </w:p>
    <w:p>
      <w:r>
        <w:rPr>
          <w:b/>
        </w:rPr>
        <w:t>E. 2</w:t>
      </w:r>
    </w:p>
    <w:p>
      <w:r>
        <w:t>Soweit der Gesuchsgegner die Aufhebung von Dispositiv-Ziffer 2 der angefochtenen Verfügung verlangt, ist auf seine Beschwerde nicht einzutreten. Mit dieser Dispositiv-Ziffer wurden die Gerichtskosten der Gesuchstellerin aufer- legt und aus deren Vorschuss bezogen. Der Gesuchsgegner erleidet durch diese Anordnung keinen Nachteil, weshalb ihm für eine Anfechtung derselben ein schützenswertes Interesse abzusprechen ist und es damit an einer Prozessvo- raussetzung für eine Beschwerde mangelt (Art. 59 Abs. 1 und Abs. 2 lit. a ZPO).</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w:t>
      </w:r>
    </w:p>
    <w:p>
      <w:r>
        <w:t>- 3 - b) Die Vorinstanz erwog zur Frage einer Parteientschädigung, der Ge- suchsgegner habe sich bisher noch nicht vernehmen lassen. Er habe mit Schrei- ben vom 28. April 2020 erneut um eine Erstreckung der ihm mit Verfügung vom</w:t>
      </w:r>
    </w:p>
    <w:p>
      <w:r>
        <w:rPr>
          <w:b/>
        </w:rPr>
        <w:t>E. 5</w:t>
      </w:r>
    </w:p>
    <w:p>
      <w:r>
        <w:t>Februar 2020 angesetzten Frist ersucht. Eine Parteientschädigung stehe ihm nicht zu (Urk. 39 S. 2). c) Der Gesuchsgegner macht in seiner Beschwerde zusammengefasst geltend, es sei nicht sachgerecht, dass ihm keine Parteientschädigung zugespro- chen worden sei; er sei nie aufgefordert worden, seine entstandenen Aufwendun- gen auszuweisen. Ihm seien durch das Rechtsöffnungsverfahren erhebliche Kos- ten in Höhe von Fr. 1'500.-- entstanden. Das Rechtsöffnungsverfahren habe sich auf ein ausländisches Gerichtsurteil bezogen, gegen welches eine ganze Reihe von Vollstreckungshindernissen im Sinne des LugÜ und des IPRG bestanden hät- ten. Er habe sich im Zuge des Rechtsöffnungsverfahrens detailliert mit dieser Ma- terie und den Vollstreckungshindernissen auseinandergesetzt; er habe 15 Stun- den aufgewendet und sei im Zuge der Bearbeitung einer Stellungnahme gewe- sen, bevor die Gesuchstellerin ihr Rechtsöffnungsgesuch zurückgezogen habe. Ein Entwurf dieser Stellungnahme, alternativ eine Substantiierung der aufgewen- deten Zeit, werde nachgereicht (Urk. 38 S. 2 f.). d) Als Parteientschädigung gelten der Ersatz notwendiger Auslagen, die Kosten einer berufsmässigen Vertretung und (in begründeten Fällen) eine ange- messene Umtriebsentschädigung bei nicht berufsmässiger Vertretung (Art. 95 Abs. 3 ZPO). Notwendige Auslagen hat der Gesuchsgegner nicht geltend ge- macht. Sodann war (und ist) er nicht berufsmässig vertreten. Die schliesslich vom Gesuchsgegner verlangte Umtriebsentschädigung von Fr. 1'500.-- beruht auf ei- nem behaupteten Zeitaufwand von 15 Stunden. Ein solcher ist jedoch in keiner Weise substantiiert, geschweige denn belegt. Dass Belege mangeln und nur schon eine Substantiierung fehlt, entspricht offensichtlich auch der Auffassung des Gesuchsgegners, hat er doch eine entsprechende Nachreichung angekün- digt. Eine solche ist jedoch nicht erfolgt und kann auch nicht mehr zulässig erfol- gen, da eine Beschwerde vollständig begründet und mit allen Beilagen innert der Beschwerdefrist einzureichen ist, letztere jedoch bereits am 18. Mai 2020 abge-</w:t>
      </w:r>
    </w:p>
    <w:p>
      <w:r>
        <w:t>- 4 - laufen ist (vgl. Urk. 37: Zustellung der angefochtenen Verfügung am 8. Mai 2020). Der ausgewiesene Aufwand im vorinstanzlichen Verfahren bestand lediglich aus zwei Fristerstreckungsgesuchen (Urk. 25 und 32) und einem Kurzschreiben eines Mitarbeiters des Gesuchsgegners (Urk. 27). Dass die Vorinstanz dies nicht als entschädigungsrelevante Umtriebe gewertet hat, wird in der Beschwerde nicht als Rechtsverletzung gerügt. e) Nach dem Gesagten erweist sich die Beschwerde des Gesuchsgeg- ners als unbegründet. Sie ist demgemäss abzuweisen, soweit auf sie einzutreten ist (oben Erw. 2). 4. a) Für das Beschwerdeverfahren beträgt der Streitwert Fr. 1'500.--.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